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764F83" w14:textId="77777777" w:rsidR="002512C7" w:rsidRPr="002512C7" w:rsidRDefault="00CD2892" w:rsidP="004576F9">
      <w:pPr>
        <w:pStyle w:val="2nesltext"/>
        <w:spacing w:before="240"/>
        <w:contextualSpacing/>
        <w:jc w:val="center"/>
        <w:rPr>
          <w:b/>
          <w:sz w:val="28"/>
          <w:lang w:eastAsia="cs-CZ"/>
        </w:rPr>
      </w:pPr>
      <w:r w:rsidRPr="004B7977">
        <w:rPr>
          <w:b/>
          <w:sz w:val="28"/>
        </w:rPr>
        <w:t xml:space="preserve">Příloha č. </w:t>
      </w:r>
      <w:r w:rsidR="0077535D">
        <w:rPr>
          <w:b/>
          <w:sz w:val="28"/>
        </w:rPr>
        <w:t>7</w:t>
      </w:r>
      <w:r w:rsidRPr="004B7977">
        <w:rPr>
          <w:b/>
          <w:sz w:val="28"/>
        </w:rPr>
        <w:t xml:space="preserve"> dokumentace</w:t>
      </w:r>
      <w:r w:rsidR="0077535D">
        <w:rPr>
          <w:b/>
          <w:sz w:val="28"/>
        </w:rPr>
        <w:t xml:space="preserve"> zadávacího řízení</w:t>
      </w:r>
    </w:p>
    <w:p w14:paraId="75D5182C" w14:textId="77777777" w:rsidR="002512C7" w:rsidRPr="002512C7" w:rsidRDefault="002512C7" w:rsidP="004576F9">
      <w:pPr>
        <w:pStyle w:val="2nesltext"/>
        <w:spacing w:before="240"/>
        <w:contextualSpacing/>
        <w:jc w:val="center"/>
        <w:rPr>
          <w:b/>
          <w:sz w:val="28"/>
          <w:lang w:eastAsia="cs-CZ"/>
        </w:rPr>
      </w:pPr>
      <w:r w:rsidRPr="002512C7">
        <w:rPr>
          <w:b/>
          <w:sz w:val="28"/>
          <w:lang w:eastAsia="cs-CZ"/>
        </w:rPr>
        <w:t>-</w:t>
      </w:r>
    </w:p>
    <w:p w14:paraId="0B0D4A0C" w14:textId="77777777" w:rsidR="002512C7" w:rsidRPr="002512C7" w:rsidRDefault="004576F9" w:rsidP="004576F9">
      <w:pPr>
        <w:pStyle w:val="2nesltext"/>
        <w:spacing w:before="240" w:after="600"/>
        <w:jc w:val="center"/>
        <w:rPr>
          <w:lang w:eastAsia="cs-CZ"/>
        </w:rPr>
      </w:pPr>
      <w:r>
        <w:rPr>
          <w:b/>
          <w:sz w:val="28"/>
          <w:lang w:eastAsia="cs-CZ"/>
        </w:rPr>
        <w:t>Předloha č</w:t>
      </w:r>
      <w:r w:rsidR="002512C7" w:rsidRPr="002512C7">
        <w:rPr>
          <w:b/>
          <w:sz w:val="28"/>
          <w:lang w:eastAsia="cs-CZ"/>
        </w:rPr>
        <w:t>estné</w:t>
      </w:r>
      <w:r>
        <w:rPr>
          <w:b/>
          <w:sz w:val="28"/>
          <w:lang w:eastAsia="cs-CZ"/>
        </w:rPr>
        <w:t>ho</w:t>
      </w:r>
      <w:r w:rsidR="002512C7" w:rsidRPr="002512C7">
        <w:rPr>
          <w:b/>
          <w:sz w:val="28"/>
          <w:lang w:eastAsia="cs-CZ"/>
        </w:rPr>
        <w:t xml:space="preserve"> prohlášení o </w:t>
      </w:r>
      <w:r w:rsidR="007A7AAE">
        <w:rPr>
          <w:b/>
          <w:sz w:val="28"/>
          <w:lang w:eastAsia="cs-CZ"/>
        </w:rPr>
        <w:t>akceptaci zadávacích podmíne</w:t>
      </w:r>
      <w:r w:rsidR="0030639C">
        <w:rPr>
          <w:b/>
          <w:sz w:val="28"/>
          <w:lang w:eastAsia="cs-CZ"/>
        </w:rPr>
        <w:t>k</w:t>
      </w:r>
    </w:p>
    <w:p w14:paraId="17DE5DCB" w14:textId="77777777" w:rsidR="004576F9" w:rsidRDefault="004576F9" w:rsidP="004576F9">
      <w:pPr>
        <w:pStyle w:val="2nesltext"/>
        <w:spacing w:before="240"/>
        <w:jc w:val="center"/>
        <w:rPr>
          <w:lang w:eastAsia="cs-CZ"/>
        </w:rPr>
      </w:pPr>
      <w:r>
        <w:rPr>
          <w:b/>
          <w:sz w:val="28"/>
          <w:lang w:eastAsia="cs-CZ"/>
        </w:rPr>
        <w:t>Č</w:t>
      </w:r>
      <w:r w:rsidRPr="002512C7">
        <w:rPr>
          <w:b/>
          <w:sz w:val="28"/>
          <w:lang w:eastAsia="cs-CZ"/>
        </w:rPr>
        <w:t xml:space="preserve">estné prohlášení </w:t>
      </w:r>
      <w:r w:rsidR="0077535D" w:rsidRPr="002512C7">
        <w:rPr>
          <w:b/>
          <w:sz w:val="28"/>
          <w:lang w:eastAsia="cs-CZ"/>
        </w:rPr>
        <w:t xml:space="preserve">o </w:t>
      </w:r>
      <w:r w:rsidR="0077535D">
        <w:rPr>
          <w:b/>
          <w:sz w:val="28"/>
          <w:lang w:eastAsia="cs-CZ"/>
        </w:rPr>
        <w:t>akceptaci zadávacích podmíne</w:t>
      </w:r>
      <w:r w:rsidR="009F0C4F">
        <w:rPr>
          <w:b/>
          <w:sz w:val="28"/>
          <w:lang w:eastAsia="cs-CZ"/>
        </w:rPr>
        <w:t>k</w:t>
      </w:r>
    </w:p>
    <w:p w14:paraId="48C0E766" w14:textId="30243718" w:rsidR="002512C7" w:rsidRPr="002512C7" w:rsidRDefault="002512C7" w:rsidP="002512C7">
      <w:pPr>
        <w:pStyle w:val="2nesltext"/>
        <w:rPr>
          <w:lang w:eastAsia="cs-CZ"/>
        </w:rPr>
      </w:pPr>
      <w:r w:rsidRPr="002512C7">
        <w:rPr>
          <w:lang w:eastAsia="cs-CZ"/>
        </w:rPr>
        <w:t xml:space="preserve">Dodavatel </w:t>
      </w:r>
      <w:r w:rsidR="00546F72" w:rsidRPr="0008418F">
        <w:rPr>
          <w:b/>
          <w:highlight w:val="cyan"/>
          <w:lang w:eastAsia="cs-CZ"/>
        </w:rPr>
        <w:fldChar w:fldCharType="begin"/>
      </w:r>
      <w:r w:rsidRPr="0008418F">
        <w:rPr>
          <w:b/>
          <w:highlight w:val="cyan"/>
          <w:lang w:eastAsia="cs-CZ"/>
        </w:rPr>
        <w:instrText xml:space="preserve"> MACROBUTTON  AcceptConflict "[doplní účastník]" </w:instrText>
      </w:r>
      <w:r w:rsidR="00546F72" w:rsidRPr="0008418F">
        <w:rPr>
          <w:b/>
          <w:highlight w:val="cyan"/>
          <w:lang w:eastAsia="cs-CZ"/>
        </w:rPr>
        <w:fldChar w:fldCharType="end"/>
      </w:r>
      <w:r w:rsidRPr="002512C7">
        <w:rPr>
          <w:lang w:eastAsia="cs-CZ"/>
        </w:rPr>
        <w:t xml:space="preserve">, IČO: </w:t>
      </w:r>
      <w:r w:rsidR="00546F72" w:rsidRPr="00770587">
        <w:rPr>
          <w:highlight w:val="cyan"/>
          <w:lang w:eastAsia="cs-CZ"/>
        </w:rPr>
        <w:fldChar w:fldCharType="begin"/>
      </w:r>
      <w:r w:rsidRPr="00770587">
        <w:rPr>
          <w:highlight w:val="cyan"/>
          <w:lang w:eastAsia="cs-CZ"/>
        </w:rPr>
        <w:instrText xml:space="preserve"> MACROBUTTON  AcceptConflict "[doplní účastník]" </w:instrText>
      </w:r>
      <w:r w:rsidR="00546F72" w:rsidRPr="00770587">
        <w:rPr>
          <w:highlight w:val="cyan"/>
          <w:lang w:eastAsia="cs-CZ"/>
        </w:rPr>
        <w:fldChar w:fldCharType="end"/>
      </w:r>
      <w:r w:rsidRPr="002512C7">
        <w:rPr>
          <w:lang w:eastAsia="cs-CZ"/>
        </w:rPr>
        <w:t xml:space="preserve">, se sídlem </w:t>
      </w:r>
      <w:r w:rsidR="00546F72" w:rsidRPr="002512C7">
        <w:rPr>
          <w:highlight w:val="cyan"/>
          <w:lang w:eastAsia="cs-CZ"/>
        </w:rPr>
        <w:fldChar w:fldCharType="begin"/>
      </w:r>
      <w:r w:rsidRPr="002512C7">
        <w:rPr>
          <w:highlight w:val="cyan"/>
          <w:lang w:eastAsia="cs-CZ"/>
        </w:rPr>
        <w:instrText xml:space="preserve"> MACROBUTTON  AcceptConflict "[doplní účastník]" </w:instrText>
      </w:r>
      <w:r w:rsidR="00546F72" w:rsidRPr="002512C7">
        <w:rPr>
          <w:highlight w:val="cyan"/>
          <w:lang w:eastAsia="cs-CZ"/>
        </w:rPr>
        <w:fldChar w:fldCharType="end"/>
      </w:r>
      <w:r w:rsidRPr="002512C7">
        <w:rPr>
          <w:lang w:eastAsia="cs-CZ"/>
        </w:rPr>
        <w:t>, PSČ </w:t>
      </w:r>
      <w:r w:rsidR="00546F72" w:rsidRPr="002512C7">
        <w:rPr>
          <w:highlight w:val="cyan"/>
          <w:lang w:eastAsia="cs-CZ"/>
        </w:rPr>
        <w:fldChar w:fldCharType="begin"/>
      </w:r>
      <w:r w:rsidRPr="002512C7">
        <w:rPr>
          <w:highlight w:val="cyan"/>
          <w:lang w:eastAsia="cs-CZ"/>
        </w:rPr>
        <w:instrText xml:space="preserve"> MACROBUTTON  AcceptConflict "[doplní účastník]" </w:instrText>
      </w:r>
      <w:r w:rsidR="00546F72" w:rsidRPr="002512C7">
        <w:rPr>
          <w:highlight w:val="cyan"/>
          <w:lang w:eastAsia="cs-CZ"/>
        </w:rPr>
        <w:fldChar w:fldCharType="end"/>
      </w:r>
      <w:r w:rsidR="0002066F">
        <w:rPr>
          <w:lang w:eastAsia="cs-CZ"/>
        </w:rPr>
        <w:t>,</w:t>
      </w:r>
      <w:r w:rsidRPr="002512C7">
        <w:rPr>
          <w:lang w:eastAsia="cs-CZ"/>
        </w:rPr>
        <w:t xml:space="preserve"> (dále jen „</w:t>
      </w:r>
      <w:r w:rsidRPr="002512C7">
        <w:rPr>
          <w:b/>
          <w:i/>
          <w:lang w:eastAsia="cs-CZ"/>
        </w:rPr>
        <w:t>dodavatel</w:t>
      </w:r>
      <w:r w:rsidRPr="002512C7">
        <w:rPr>
          <w:lang w:eastAsia="cs-CZ"/>
        </w:rPr>
        <w:t xml:space="preserve">“), </w:t>
      </w:r>
      <w:r w:rsidR="008014CD" w:rsidRPr="002512C7">
        <w:rPr>
          <w:lang w:eastAsia="cs-CZ"/>
        </w:rPr>
        <w:t>jako účastník zadávacího řízení veřejné zakázky</w:t>
      </w:r>
      <w:r w:rsidR="008014CD">
        <w:rPr>
          <w:lang w:eastAsia="cs-CZ"/>
        </w:rPr>
        <w:t xml:space="preserve"> s </w:t>
      </w:r>
      <w:r w:rsidR="008014CD" w:rsidRPr="002512C7">
        <w:rPr>
          <w:lang w:eastAsia="cs-CZ"/>
        </w:rPr>
        <w:t xml:space="preserve">názvem </w:t>
      </w:r>
      <w:r w:rsidR="003815E1" w:rsidRPr="003815E1">
        <w:rPr>
          <w:b/>
          <w:lang w:bidi="en-US"/>
        </w:rPr>
        <w:t>Pojištění majetku a odpovědnosti za škody Kraje Vysočina a jím zřizovaných organizací</w:t>
      </w:r>
      <w:r w:rsidR="0077535D">
        <w:rPr>
          <w:b/>
          <w:lang w:bidi="en-US"/>
        </w:rPr>
        <w:t xml:space="preserve"> </w:t>
      </w:r>
      <w:r w:rsidR="0077535D">
        <w:rPr>
          <w:lang w:bidi="en-US"/>
        </w:rPr>
        <w:t>(dále jen „</w:t>
      </w:r>
      <w:r w:rsidR="0077535D">
        <w:rPr>
          <w:b/>
          <w:i/>
          <w:lang w:bidi="en-US"/>
        </w:rPr>
        <w:t>veřejná zakázka</w:t>
      </w:r>
      <w:r w:rsidR="0077535D">
        <w:rPr>
          <w:lang w:bidi="en-US"/>
        </w:rPr>
        <w:t>“)</w:t>
      </w:r>
      <w:r w:rsidR="001C7065" w:rsidRPr="0077535D">
        <w:rPr>
          <w:lang w:bidi="en-US"/>
        </w:rPr>
        <w:t>,</w:t>
      </w:r>
      <w:r w:rsidRPr="002A02F4">
        <w:rPr>
          <w:lang w:eastAsia="cs-CZ"/>
        </w:rPr>
        <w:t xml:space="preserve"> tímto </w:t>
      </w:r>
      <w:r w:rsidR="0002066F" w:rsidRPr="002A02F4">
        <w:rPr>
          <w:lang w:eastAsia="cs-CZ"/>
        </w:rPr>
        <w:t xml:space="preserve">čestně prohlašuje, že </w:t>
      </w:r>
      <w:r w:rsidR="0077535D" w:rsidRPr="0077535D">
        <w:rPr>
          <w:b/>
          <w:lang w:eastAsia="cs-CZ"/>
        </w:rPr>
        <w:t>akceptuje</w:t>
      </w:r>
      <w:r w:rsidR="0077535D">
        <w:rPr>
          <w:lang w:eastAsia="cs-CZ"/>
        </w:rPr>
        <w:t xml:space="preserve"> </w:t>
      </w:r>
      <w:r w:rsidR="0077535D" w:rsidRPr="0077535D">
        <w:rPr>
          <w:b/>
          <w:lang w:eastAsia="cs-CZ"/>
        </w:rPr>
        <w:t xml:space="preserve">veškeré </w:t>
      </w:r>
      <w:r w:rsidR="0077535D">
        <w:rPr>
          <w:b/>
          <w:lang w:eastAsia="cs-CZ"/>
        </w:rPr>
        <w:t xml:space="preserve">podmínky a </w:t>
      </w:r>
      <w:r w:rsidR="0077535D" w:rsidRPr="0077535D">
        <w:rPr>
          <w:b/>
          <w:lang w:eastAsia="cs-CZ"/>
        </w:rPr>
        <w:t>požadavky zadavatele uvedené v zadávací dokumentaci</w:t>
      </w:r>
      <w:r w:rsidR="000B795B">
        <w:rPr>
          <w:lang w:eastAsia="cs-CZ"/>
        </w:rPr>
        <w:t xml:space="preserve">, </w:t>
      </w:r>
      <w:r w:rsidR="0077535D">
        <w:rPr>
          <w:lang w:eastAsia="cs-CZ"/>
        </w:rPr>
        <w:t>a to zejména</w:t>
      </w:r>
      <w:r w:rsidR="0025682B">
        <w:rPr>
          <w:lang w:eastAsia="cs-CZ"/>
        </w:rPr>
        <w:t>:</w:t>
      </w:r>
    </w:p>
    <w:p w14:paraId="2B7A05CE" w14:textId="25588666" w:rsidR="0077535D" w:rsidRPr="003815E1" w:rsidRDefault="0077535D" w:rsidP="003C3197">
      <w:pPr>
        <w:pStyle w:val="3seznam"/>
        <w:rPr>
          <w:b/>
        </w:rPr>
      </w:pPr>
      <w:r w:rsidRPr="00862659">
        <w:rPr>
          <w:b/>
        </w:rPr>
        <w:t>právo zadavatele</w:t>
      </w:r>
      <w:r w:rsidR="00CC2E27">
        <w:rPr>
          <w:b/>
        </w:rPr>
        <w:t xml:space="preserve"> </w:t>
      </w:r>
      <w:r w:rsidRPr="00862659">
        <w:rPr>
          <w:b/>
        </w:rPr>
        <w:t xml:space="preserve">aktualizovat seznam pojištěných osob </w:t>
      </w:r>
      <w:r w:rsidR="00C010D1" w:rsidRPr="00862659">
        <w:rPr>
          <w:b/>
        </w:rPr>
        <w:t>a povinnost d</w:t>
      </w:r>
      <w:r w:rsidR="00C010D1" w:rsidRPr="00862659">
        <w:rPr>
          <w:b/>
          <w:bCs/>
        </w:rPr>
        <w:t>odavatele aktualizaci seznamu pojištěných osob akceptovat</w:t>
      </w:r>
      <w:r w:rsidRPr="00862659">
        <w:t>;</w:t>
      </w:r>
    </w:p>
    <w:p w14:paraId="65B69DBF" w14:textId="56E12379" w:rsidR="003815E1" w:rsidRPr="003815E1" w:rsidRDefault="00A74361" w:rsidP="003C3197">
      <w:pPr>
        <w:pStyle w:val="3seznam"/>
        <w:rPr>
          <w:b/>
        </w:rPr>
      </w:pPr>
      <w:r>
        <w:rPr>
          <w:b/>
        </w:rPr>
        <w:t>O</w:t>
      </w:r>
      <w:r w:rsidR="003815E1">
        <w:rPr>
          <w:b/>
        </w:rPr>
        <w:t xml:space="preserve">bchodní podmínky zadavatele </w:t>
      </w:r>
      <w:r w:rsidR="003815E1" w:rsidRPr="00B17705">
        <w:rPr>
          <w:b/>
        </w:rPr>
        <w:t>pro návrh smlouvy</w:t>
      </w:r>
      <w:r>
        <w:rPr>
          <w:b/>
        </w:rPr>
        <w:t xml:space="preserve"> (příloha pojistného programu)</w:t>
      </w:r>
      <w:r w:rsidR="003815E1">
        <w:rPr>
          <w:b/>
        </w:rPr>
        <w:t xml:space="preserve">, </w:t>
      </w:r>
      <w:r w:rsidR="003815E1" w:rsidRPr="00B17705">
        <w:t xml:space="preserve">a to </w:t>
      </w:r>
      <w:r w:rsidR="003815E1">
        <w:t xml:space="preserve">jak obecná smluvní ujednáním, tak ujednání vztahující se </w:t>
      </w:r>
      <w:r w:rsidR="003815E1" w:rsidRPr="00B17705">
        <w:t>pro jednotlivé druhy pojištění</w:t>
      </w:r>
      <w:r w:rsidR="003815E1">
        <w:t>;</w:t>
      </w:r>
    </w:p>
    <w:p w14:paraId="0EF5CF60" w14:textId="4C1184EA" w:rsidR="003815E1" w:rsidRPr="00862659" w:rsidRDefault="003815E1" w:rsidP="003C3197">
      <w:pPr>
        <w:pStyle w:val="3seznam"/>
        <w:rPr>
          <w:b/>
        </w:rPr>
      </w:pPr>
      <w:r>
        <w:rPr>
          <w:b/>
        </w:rPr>
        <w:t xml:space="preserve">pověření obchodní společnosti </w:t>
      </w:r>
      <w:r w:rsidRPr="000B7504">
        <w:rPr>
          <w:b/>
        </w:rPr>
        <w:t>MARSH, s.r.o.</w:t>
      </w:r>
      <w:r w:rsidRPr="001D3180">
        <w:t xml:space="preserve">, IČO: </w:t>
      </w:r>
      <w:r w:rsidRPr="000B7504">
        <w:t>45306541</w:t>
      </w:r>
      <w:r w:rsidRPr="001D3180">
        <w:t xml:space="preserve">, se sídlem: </w:t>
      </w:r>
      <w:r w:rsidRPr="000B7504">
        <w:rPr>
          <w:rFonts w:cs="Arial"/>
        </w:rPr>
        <w:t xml:space="preserve">Vinohradská 2828/151, Žižkov, 130 00 Praha 3 (dále jen </w:t>
      </w:r>
      <w:r w:rsidRPr="000B7504">
        <w:rPr>
          <w:rFonts w:cs="Arial"/>
          <w:b/>
          <w:bCs/>
        </w:rPr>
        <w:t>„</w:t>
      </w:r>
      <w:r w:rsidRPr="000B7504">
        <w:rPr>
          <w:rFonts w:cs="Arial"/>
          <w:b/>
          <w:bCs/>
          <w:i/>
        </w:rPr>
        <w:t>pojišťovací makléř</w:t>
      </w:r>
      <w:r w:rsidRPr="000B7504">
        <w:rPr>
          <w:rFonts w:cs="Arial"/>
          <w:b/>
          <w:bCs/>
        </w:rPr>
        <w:t>“</w:t>
      </w:r>
      <w:r w:rsidRPr="000B7504">
        <w:rPr>
          <w:rFonts w:cs="Arial"/>
        </w:rPr>
        <w:t>)</w:t>
      </w:r>
      <w:r>
        <w:rPr>
          <w:rFonts w:cs="Arial"/>
        </w:rPr>
        <w:t xml:space="preserve"> </w:t>
      </w:r>
      <w:r w:rsidRPr="001D3180">
        <w:t>zpracováním</w:t>
      </w:r>
      <w:r w:rsidRPr="0091153D">
        <w:t xml:space="preserve"> </w:t>
      </w:r>
      <w:r>
        <w:t xml:space="preserve">a </w:t>
      </w:r>
      <w:r w:rsidRPr="001D3180">
        <w:t xml:space="preserve">vedením (řízením) pojistného zájmu </w:t>
      </w:r>
      <w:r>
        <w:t>zadavatele</w:t>
      </w:r>
      <w:r w:rsidRPr="001D3180">
        <w:t xml:space="preserve"> a </w:t>
      </w:r>
      <w:r>
        <w:t>jím zřízených</w:t>
      </w:r>
      <w:r w:rsidRPr="001D3180">
        <w:t xml:space="preserve"> organizací</w:t>
      </w:r>
      <w:r>
        <w:t>;</w:t>
      </w:r>
    </w:p>
    <w:p w14:paraId="6611DA7B" w14:textId="061BF1FD" w:rsidR="00D14DDD" w:rsidRPr="00862659" w:rsidRDefault="00D14DDD" w:rsidP="003C3197">
      <w:pPr>
        <w:pStyle w:val="3seznam"/>
        <w:rPr>
          <w:b/>
        </w:rPr>
      </w:pPr>
      <w:r w:rsidRPr="00862659">
        <w:rPr>
          <w:b/>
        </w:rPr>
        <w:t xml:space="preserve">hrazení pojistného </w:t>
      </w:r>
      <w:r w:rsidR="006F0C18">
        <w:rPr>
          <w:b/>
        </w:rPr>
        <w:t xml:space="preserve">pololetně, </w:t>
      </w:r>
      <w:r w:rsidRPr="00862659">
        <w:rPr>
          <w:b/>
        </w:rPr>
        <w:t>ve dvou splátkách</w:t>
      </w:r>
      <w:r w:rsidR="00E80F09" w:rsidRPr="00862659">
        <w:rPr>
          <w:b/>
        </w:rPr>
        <w:t xml:space="preserve"> ve stejné výši</w:t>
      </w:r>
      <w:r w:rsidRPr="00862659">
        <w:rPr>
          <w:b/>
        </w:rPr>
        <w:t xml:space="preserve">, </w:t>
      </w:r>
      <w:r w:rsidR="004626D0" w:rsidRPr="00567621">
        <w:rPr>
          <w:b/>
        </w:rPr>
        <w:t>a to vždy k</w:t>
      </w:r>
      <w:r w:rsidR="004626D0">
        <w:rPr>
          <w:b/>
        </w:rPr>
        <w:t> 01.01.</w:t>
      </w:r>
      <w:r w:rsidR="004626D0" w:rsidRPr="00567621">
        <w:rPr>
          <w:b/>
        </w:rPr>
        <w:t xml:space="preserve"> a </w:t>
      </w:r>
      <w:r w:rsidR="004626D0">
        <w:rPr>
          <w:b/>
        </w:rPr>
        <w:t>01.07.</w:t>
      </w:r>
      <w:r w:rsidR="004626D0" w:rsidRPr="00567621">
        <w:rPr>
          <w:b/>
        </w:rPr>
        <w:t xml:space="preserve"> příslušného kalendářního roku</w:t>
      </w:r>
      <w:r w:rsidR="00C010D1" w:rsidRPr="00862659">
        <w:rPr>
          <w:b/>
        </w:rPr>
        <w:t>;</w:t>
      </w:r>
    </w:p>
    <w:p w14:paraId="15D604CF" w14:textId="77777777" w:rsidR="0077535D" w:rsidRPr="006F0C18" w:rsidRDefault="0077535D" w:rsidP="003C3197">
      <w:pPr>
        <w:pStyle w:val="3seznam"/>
      </w:pPr>
      <w:r w:rsidRPr="006F0C18">
        <w:rPr>
          <w:b/>
        </w:rPr>
        <w:t>obchodní a platební podmínky zadavatele</w:t>
      </w:r>
      <w:r w:rsidRPr="006F0C18">
        <w:t>, tj.</w:t>
      </w:r>
      <w:r w:rsidR="003C3197" w:rsidRPr="006F0C18">
        <w:t xml:space="preserve"> zejména že</w:t>
      </w:r>
      <w:r w:rsidRPr="006F0C18">
        <w:t>:</w:t>
      </w:r>
    </w:p>
    <w:p w14:paraId="021C97E1" w14:textId="77777777" w:rsidR="00A74361" w:rsidRDefault="00A74361" w:rsidP="00554B69">
      <w:pPr>
        <w:pStyle w:val="3seznam"/>
        <w:numPr>
          <w:ilvl w:val="2"/>
          <w:numId w:val="13"/>
        </w:numPr>
        <w:ind w:left="1276"/>
      </w:pPr>
      <w:r>
        <w:t>smlouva na plnění veřejné zakázky je uzavřena na základě výsledků zadávacího řízení veřejné zakázky, přičemž jednotlivá ujednání smlouvy na plnění veřejné zakázky budou vykládána v souladu se zadávacími podmínkami veřejné zakázky a nabídkou účastníka zadávacího řízení podanou na veřejnou zakázku a v případě rozporu mají přednost zadávací podmínky veřejné zakázky;</w:t>
      </w:r>
    </w:p>
    <w:p w14:paraId="1DFB3296" w14:textId="77777777" w:rsidR="00A74361" w:rsidRDefault="00A74361" w:rsidP="00554B69">
      <w:pPr>
        <w:pStyle w:val="3seznam"/>
        <w:numPr>
          <w:ilvl w:val="2"/>
          <w:numId w:val="13"/>
        </w:numPr>
        <w:ind w:left="1276"/>
      </w:pPr>
      <w:r>
        <w:t>zadavatel nebude poskytovat účastníku zadávacího řízení zálohy na pojistné;</w:t>
      </w:r>
    </w:p>
    <w:p w14:paraId="48D05F8A" w14:textId="77777777" w:rsidR="00A74361" w:rsidRDefault="00A74361" w:rsidP="00554B69">
      <w:pPr>
        <w:pStyle w:val="3seznam"/>
        <w:numPr>
          <w:ilvl w:val="2"/>
          <w:numId w:val="13"/>
        </w:numPr>
        <w:ind w:left="1276"/>
      </w:pPr>
      <w:r>
        <w:t>smlouvu na plnění veřejné zakázky bude zadavatel oprávněn ukončit výpovědí vždy ke konci pojistného období v délce 12 měsíců, tzn. k výročí smlouvy na plnění veřejné zakázky, doručenou účastníku zadávacího řízení nejpozději 9 měsíců před výročím smlouvy na plnění veřejné zakázky;</w:t>
      </w:r>
    </w:p>
    <w:p w14:paraId="7CEE00B4" w14:textId="77777777" w:rsidR="00A74361" w:rsidRDefault="00A74361" w:rsidP="00554B69">
      <w:pPr>
        <w:pStyle w:val="3seznam"/>
        <w:numPr>
          <w:ilvl w:val="2"/>
          <w:numId w:val="13"/>
        </w:numPr>
        <w:ind w:left="1276"/>
      </w:pPr>
      <w:r>
        <w:t>smlouvu na plnění veřejné zakázky bude účastník zadávacího řízení oprávněn ukončit výpovědí vždy ke konci pojistného období v délce 12 měsíců, tzn. k výročí smlouvy na plnění veřejné zakázky, doručenou zadavateli prostřednictvím pojišťovacího makléře, nejpozději 9 měsíců před výročím smlouvy na plnění veřejné zakázky;</w:t>
      </w:r>
    </w:p>
    <w:p w14:paraId="519DF5D9" w14:textId="77777777" w:rsidR="00A74361" w:rsidRDefault="00A74361" w:rsidP="00554B69">
      <w:pPr>
        <w:pStyle w:val="3seznam"/>
        <w:numPr>
          <w:ilvl w:val="2"/>
          <w:numId w:val="13"/>
        </w:numPr>
        <w:ind w:left="1276"/>
      </w:pPr>
      <w:r>
        <w:t>smluvní strany se dohodly, že § 2807 zákona č. 89/2012 Sb., občanského zákoníku, ve znění pozdějších předpisů (dále jen „občanský zákoník“) se nepoužije;</w:t>
      </w:r>
    </w:p>
    <w:p w14:paraId="33ED546F" w14:textId="77777777" w:rsidR="00A74361" w:rsidRDefault="00A74361" w:rsidP="00554B69">
      <w:pPr>
        <w:pStyle w:val="3seznam"/>
        <w:numPr>
          <w:ilvl w:val="2"/>
          <w:numId w:val="13"/>
        </w:numPr>
        <w:ind w:left="1276"/>
      </w:pPr>
      <w:r>
        <w:t>smluvní strany se dohodly na vyloučení práva účastníka zadávacího řízení vypovědět pojistnou smlouvu jakožto i jakékoli jednotlivé pojištění vzniklé na jejím základě výpovědí dle § 2805 občanského zákoníku, tedy do 2 měsíců po uzavření této pojistné smlouvy ve smyslu § 2805 písm. a) občanského zákoníku, jakož i po oznámení vzniku pojistné události dle § 2805 písm. b) občanského zákoníku;</w:t>
      </w:r>
    </w:p>
    <w:p w14:paraId="32CCEE8E" w14:textId="77777777" w:rsidR="00A74361" w:rsidRDefault="00A74361" w:rsidP="00554B69">
      <w:pPr>
        <w:pStyle w:val="3seznam"/>
        <w:numPr>
          <w:ilvl w:val="2"/>
          <w:numId w:val="13"/>
        </w:numPr>
        <w:ind w:left="1276"/>
      </w:pPr>
      <w:r>
        <w:lastRenderedPageBreak/>
        <w:t>pojistné bude sjednáno jako běžné. Splatnost pojistného bude pololetní a účastník zadávacího řízení nebude za pololetní splatnost ročního pojistného aplikovat přirážku na pojistném. Platby pojistného budou prováděny v české měně a budou hrazeny zadavatelem na účet pojišťovacího makléře na základě jím vystavené faktury se splatností 60 dnů od jejího doručení. Pojistné se považuje za uhrazené okamžikem jeho připsání na účet pojišťovacího makléře;</w:t>
      </w:r>
    </w:p>
    <w:p w14:paraId="7AE89B51" w14:textId="77777777" w:rsidR="00A74361" w:rsidRDefault="00A74361" w:rsidP="00554B69">
      <w:pPr>
        <w:pStyle w:val="3seznam"/>
        <w:numPr>
          <w:ilvl w:val="2"/>
          <w:numId w:val="13"/>
        </w:numPr>
        <w:ind w:left="1276"/>
      </w:pPr>
      <w:r>
        <w:t>účastník zadávacího řízení se zavazuje zachovat pojistné sazby po celou dobu trvání smlouvy na plnění veřejné zakázky;</w:t>
      </w:r>
    </w:p>
    <w:p w14:paraId="489B7B8B" w14:textId="77777777" w:rsidR="00A74361" w:rsidRDefault="00A74361" w:rsidP="00554B69">
      <w:pPr>
        <w:pStyle w:val="3seznam"/>
        <w:numPr>
          <w:ilvl w:val="2"/>
          <w:numId w:val="13"/>
        </w:numPr>
        <w:ind w:left="1276"/>
      </w:pPr>
      <w:r>
        <w:t>účastník zadávacího řízení není oprávněn stanovit vůči zadavateli nebo jím zřízeným organizacím žádné sankce mimo zákonného úroku z prodlení ve výši podle právních předpisů při prodlení s úhradou pojistného;</w:t>
      </w:r>
    </w:p>
    <w:p w14:paraId="0FDF6CEC" w14:textId="77777777" w:rsidR="00A74361" w:rsidRDefault="00A74361" w:rsidP="00554B69">
      <w:pPr>
        <w:pStyle w:val="3seznam"/>
        <w:numPr>
          <w:ilvl w:val="2"/>
          <w:numId w:val="13"/>
        </w:numPr>
        <w:ind w:left="1276"/>
      </w:pPr>
      <w:r>
        <w:t>zadavatel je oprávněn kontrolovat plnění poskytované účastníkem zadávacího řízení podle smlouvy na plnění veřejné zakázky, a to zejména v následujícím rozsahu</w:t>
      </w:r>
    </w:p>
    <w:p w14:paraId="09626305" w14:textId="77777777" w:rsidR="00A74361" w:rsidRDefault="00A74361" w:rsidP="00A33867">
      <w:pPr>
        <w:pStyle w:val="3seznam"/>
        <w:numPr>
          <w:ilvl w:val="2"/>
          <w:numId w:val="21"/>
        </w:numPr>
        <w:ind w:left="1701"/>
      </w:pPr>
      <w:r>
        <w:t>kontrolovat plnění smluvních podmínek,</w:t>
      </w:r>
    </w:p>
    <w:p w14:paraId="1E7D5CA8" w14:textId="77777777" w:rsidR="00A74361" w:rsidRDefault="00A74361" w:rsidP="00A33867">
      <w:pPr>
        <w:pStyle w:val="3seznam"/>
        <w:numPr>
          <w:ilvl w:val="2"/>
          <w:numId w:val="21"/>
        </w:numPr>
        <w:ind w:left="1701"/>
      </w:pPr>
      <w:r>
        <w:t>kontrolovat vyúčtování plnění,</w:t>
      </w:r>
    </w:p>
    <w:p w14:paraId="4A586874" w14:textId="77777777" w:rsidR="00A74361" w:rsidRDefault="00A74361" w:rsidP="00A33867">
      <w:pPr>
        <w:pStyle w:val="3seznam"/>
        <w:numPr>
          <w:ilvl w:val="2"/>
          <w:numId w:val="21"/>
        </w:numPr>
        <w:ind w:left="1701"/>
      </w:pPr>
      <w:r>
        <w:t>požadovat reporty o průběhu plnění, škodných událostech apod.;</w:t>
      </w:r>
    </w:p>
    <w:p w14:paraId="3CAC18A9" w14:textId="77777777" w:rsidR="00A74361" w:rsidRDefault="00A74361" w:rsidP="00554B69">
      <w:pPr>
        <w:pStyle w:val="3seznam"/>
        <w:numPr>
          <w:ilvl w:val="2"/>
          <w:numId w:val="13"/>
        </w:numPr>
        <w:ind w:left="1276"/>
      </w:pPr>
      <w:r>
        <w:t>účastník zadávacího řízení se zavazuje vystavit bezprostředně po uzavření smlouvy na plnění veřejné zakázky pojistku jako potvrzení o uzavření smlouvy na plnění veřejné zakázky podle § 2775 občanského zákoníku, pokud není smlouva na plnění veřejné zakázky zároveň pojistkou;</w:t>
      </w:r>
    </w:p>
    <w:p w14:paraId="313AE22A" w14:textId="77777777" w:rsidR="00A74361" w:rsidRDefault="00A74361" w:rsidP="00554B69">
      <w:pPr>
        <w:pStyle w:val="3seznam"/>
        <w:numPr>
          <w:ilvl w:val="2"/>
          <w:numId w:val="13"/>
        </w:numPr>
        <w:ind w:left="1276"/>
      </w:pPr>
      <w:r>
        <w:t>nemá-li oprávněná osoba, resp. poškozený subjekt při opravě nebo náhradě související s pojistnou událostí, nárok na odpočet DPH, poskytne účastník zadávacího řízení plnění ve výši vyčíslené včetně DPH. V případech, kdy oprávněná osob, resp. poškozený subjekt, tento nárok má, poskytne účastník zadávacího řízení plnění ve výši vyčíslené bez DPH;</w:t>
      </w:r>
    </w:p>
    <w:p w14:paraId="3B0325C6" w14:textId="77777777" w:rsidR="00A74361" w:rsidRDefault="00A74361" w:rsidP="00554B69">
      <w:pPr>
        <w:pStyle w:val="3seznam"/>
        <w:numPr>
          <w:ilvl w:val="2"/>
          <w:numId w:val="13"/>
        </w:numPr>
        <w:ind w:left="1276"/>
      </w:pPr>
      <w:r>
        <w:t>zadavatel prohlašuje, že při výkonu působnosti v oblasti veřejné správy se dle zákona č. 235/2004 Sb., o dani z přidané hodnoty, ve znění pozdějších předpisů (dále jen „ZDPH“), nepovažuje za osobu povinnou k dani, tudíž ani u souvisejících přijatých zdanitelných plnění není oprávněn k odpočtu daně na vstupu. Totožný režim je uplatňován v rámci plnění osvobozených od DPH bez nároku na odpočet daně, viz § 51 - § 62 ZDPH (mj. nájem nemovité věci).</w:t>
      </w:r>
    </w:p>
    <w:p w14:paraId="02CCDF78" w14:textId="77777777" w:rsidR="00A74361" w:rsidRDefault="00A74361" w:rsidP="00554B69">
      <w:pPr>
        <w:pStyle w:val="3seznam"/>
        <w:numPr>
          <w:ilvl w:val="2"/>
          <w:numId w:val="13"/>
        </w:numPr>
        <w:ind w:left="1276"/>
      </w:pPr>
      <w:r>
        <w:t>účastník zadávacího řízení není oprávněn postoupit žádnou svou pohledávku za zadavatelem nebo jím zřízenou organizací vyplývající ze smlouvy na plnění veřejné zakázky nebo vzniklou v souvislosti se smlouvou na plnění veřejné zakázky bez předchozího písemného souhlasu zadavatele;</w:t>
      </w:r>
    </w:p>
    <w:p w14:paraId="08A5BD76" w14:textId="77777777" w:rsidR="00A74361" w:rsidRDefault="00A74361" w:rsidP="00554B69">
      <w:pPr>
        <w:pStyle w:val="3seznam"/>
        <w:numPr>
          <w:ilvl w:val="2"/>
          <w:numId w:val="13"/>
        </w:numPr>
        <w:ind w:left="1276"/>
      </w:pPr>
      <w:r>
        <w:t>účastník zadávacího řízení není oprávněn provést jednostranné započtení žádné své pohledávky za zadavatelem nebo jím zřízenou organizací vyplývající ze smlouvy na plnění veřejné zakázky nebo vzniklé v souvislosti se smlouvou na plnění veřejné zakázky na jakoukoliv pohledávku zadavatele nebo jím zřízené organizace za účastníkem zadávacího řízení (zejména na pojistné plnění) bez předchozího písemného souhlasu zadavatele;</w:t>
      </w:r>
    </w:p>
    <w:p w14:paraId="59621A8E" w14:textId="77777777" w:rsidR="00A74361" w:rsidRDefault="00A74361" w:rsidP="00554B69">
      <w:pPr>
        <w:pStyle w:val="3seznam"/>
        <w:numPr>
          <w:ilvl w:val="2"/>
          <w:numId w:val="13"/>
        </w:numPr>
        <w:ind w:left="1276"/>
      </w:pPr>
      <w:r>
        <w:t xml:space="preserve">smlouvu na plnění veřejné zakázky lze měnit pouze písemnými dodatky podepsanými oprávněnými zástupci obou smluvních stran, s výjimkou změny seznamu pojištěných osob (organizací zřízených zadavatelem), který bude zadavatel oprávněn měnit jednostranně, přičemž změna seznamu pojištěných osob bude účinná okamžikem akceptace účastníkem zadávacího řízení, nejpozději však prvním dnem kalendářního </w:t>
      </w:r>
      <w:r>
        <w:lastRenderedPageBreak/>
        <w:t>měsíce následujícího po měsíci, v němž bude účastníku zadávacího řízení změna seznamu pojištěných osob písemně oznámena;</w:t>
      </w:r>
    </w:p>
    <w:p w14:paraId="23A19D62" w14:textId="77777777" w:rsidR="00A74361" w:rsidRDefault="00A74361" w:rsidP="00554B69">
      <w:pPr>
        <w:pStyle w:val="3seznam"/>
        <w:numPr>
          <w:ilvl w:val="2"/>
          <w:numId w:val="13"/>
        </w:numPr>
        <w:ind w:left="1276"/>
      </w:pPr>
      <w:r>
        <w:t>účastník zadávacího řízení (pojistitel) bere na vědomí, že zadavatel je povinným subjektem podle zákona č. 106/1999 Sb., o svobodném přístupu k informacím, ve znění pozdějších předpisů, a zákona č. 340/2015 Sb., o zvláštních podmínkách účinnosti některých smluv, uveřejňování těchto smluv a o registru smluv (zákon o registru smluv), ve znění pozdějších předpisů a souhlasí se zveřejněním smlouvy na plnění veřejné zakázky v souladu s povinnostmi zadavatele za podmínek vyplývajících z příslušných právních předpisů;</w:t>
      </w:r>
    </w:p>
    <w:p w14:paraId="0A1F8110" w14:textId="77777777" w:rsidR="00A74361" w:rsidRDefault="00A74361" w:rsidP="00554B69">
      <w:pPr>
        <w:pStyle w:val="3seznam"/>
        <w:numPr>
          <w:ilvl w:val="2"/>
          <w:numId w:val="13"/>
        </w:numPr>
        <w:ind w:left="1276"/>
      </w:pPr>
      <w:r>
        <w:t>účastník zadávacího řízení prohlašuje, že smlouva na plnění veřejné zakázky ani žádná její část nejsou obchodním tajemstvím účastníka zadávacího řízení ve smyslu § 504 občanského zákoníku;</w:t>
      </w:r>
    </w:p>
    <w:p w14:paraId="75A6E8B9" w14:textId="77777777" w:rsidR="00A74361" w:rsidRDefault="00A74361" w:rsidP="00554B69">
      <w:pPr>
        <w:pStyle w:val="3seznam"/>
        <w:numPr>
          <w:ilvl w:val="2"/>
          <w:numId w:val="13"/>
        </w:numPr>
        <w:ind w:left="1276"/>
      </w:pPr>
      <w:r>
        <w:t>obchodní podmínky účastníka zadávacího řízení nesmí omezovat nárok na náhradu škody či nemajetkové újmy zadavatele nebo jím zřízených organizací vzniklý v důsledku porušení dobrých mravů, povinností stanovených právními předpisy nebo povinností ze smlouvy na plnění veřejné zakázky účastníkem zadávacího řízení;</w:t>
      </w:r>
    </w:p>
    <w:p w14:paraId="1F3AFDF7" w14:textId="77777777" w:rsidR="00A74361" w:rsidRDefault="00A74361" w:rsidP="00554B69">
      <w:pPr>
        <w:pStyle w:val="3seznam"/>
        <w:numPr>
          <w:ilvl w:val="2"/>
          <w:numId w:val="13"/>
        </w:numPr>
        <w:ind w:left="1276"/>
      </w:pPr>
      <w:r>
        <w:t>obchodní podmínky účastníka zadávacího řízení nesmí obsahovat vzdání se jakýchkoliv práv zadavatele nebo jeho organizací uvedených v dispozitivních ustanoveních občanského zákoníku či jejich zkrácení;</w:t>
      </w:r>
    </w:p>
    <w:p w14:paraId="352DB0D7" w14:textId="77777777" w:rsidR="00A74361" w:rsidRDefault="00A74361" w:rsidP="00554B69">
      <w:pPr>
        <w:pStyle w:val="3seznam"/>
        <w:numPr>
          <w:ilvl w:val="2"/>
          <w:numId w:val="13"/>
        </w:numPr>
        <w:ind w:left="1276"/>
      </w:pPr>
      <w:r>
        <w:t>obchodní podmínky účastníka zadávacího řízení nesmí obsahovat cenovou, kurzovou či inflační doložku v neprospěch zadavatele či jím zřízených organizací;</w:t>
      </w:r>
    </w:p>
    <w:p w14:paraId="34E60637" w14:textId="77777777" w:rsidR="00A74361" w:rsidRDefault="00A74361" w:rsidP="00554B69">
      <w:pPr>
        <w:pStyle w:val="3seznam"/>
        <w:numPr>
          <w:ilvl w:val="2"/>
          <w:numId w:val="13"/>
        </w:numPr>
        <w:ind w:left="1276"/>
      </w:pPr>
      <w:r>
        <w:t>vybraný dodavatel je povinen na základě žádosti pojištěného vystavit pojistný certifikát, v požadovaném obsahu a struktuře, jako potvrzení o pojištění;</w:t>
      </w:r>
    </w:p>
    <w:p w14:paraId="77894B36" w14:textId="77777777" w:rsidR="00A74361" w:rsidRDefault="00A74361" w:rsidP="00554B69">
      <w:pPr>
        <w:pStyle w:val="3seznam"/>
        <w:numPr>
          <w:ilvl w:val="2"/>
          <w:numId w:val="13"/>
        </w:numPr>
        <w:ind w:left="1276"/>
      </w:pPr>
      <w:r>
        <w:t>obchodní podmínky účastníka zadávacího řízení nesmí obsahovat rozhodčí doložku, ani ujednání o jiné místní příslušnosti soudu, než je soud určený podle místa sídla žalovaného;</w:t>
      </w:r>
    </w:p>
    <w:p w14:paraId="05BB9102" w14:textId="691751A6" w:rsidR="003815E1" w:rsidRDefault="00A74361" w:rsidP="00554B69">
      <w:pPr>
        <w:pStyle w:val="3seznam"/>
        <w:numPr>
          <w:ilvl w:val="2"/>
          <w:numId w:val="13"/>
        </w:numPr>
        <w:ind w:left="1276"/>
      </w:pPr>
      <w:r>
        <w:t>účastník zadávacího řízení se, ve smyslu § 219 zákona, zavazuje předat zadavateli, pravdivé údaje o výši skutečně uhrazené ceny zadavatelem na základě smlouvy na plnění veřejné zakázky, a to nejpozději 30 dnů před uplynutím lhůty, v níž je zadavatel povinen uveřejnit na profilu zadavatele údaje o výši skutečně uhrazené ceny podle § 219 zákona</w:t>
      </w:r>
      <w:r w:rsidR="0081264E">
        <w:t>.</w:t>
      </w:r>
    </w:p>
    <w:p w14:paraId="1EC1C5C6" w14:textId="100A57F2" w:rsidR="004626D0" w:rsidRDefault="00554B69" w:rsidP="004626D0">
      <w:pPr>
        <w:pStyle w:val="3seznam"/>
      </w:pPr>
      <w:r>
        <w:t>n</w:t>
      </w:r>
      <w:r w:rsidR="00A74361">
        <w:t xml:space="preserve">ávrh smlouvy na plnění veřejné zakázky </w:t>
      </w:r>
      <w:r>
        <w:rPr>
          <w:bCs/>
          <w:color w:val="000000"/>
        </w:rPr>
        <w:t>bude</w:t>
      </w:r>
      <w:r w:rsidR="00A74361">
        <w:rPr>
          <w:bCs/>
          <w:color w:val="000000"/>
        </w:rPr>
        <w:t xml:space="preserve"> obsahovat systém kvantifikace bonifikace za škodný průběh pojištění na pojištění živelní, </w:t>
      </w:r>
      <w:r w:rsidR="00A74361" w:rsidRPr="005734A9">
        <w:rPr>
          <w:bCs/>
          <w:color w:val="000000"/>
        </w:rPr>
        <w:t>pojištění krádeže, loupeže, vandalismu včetně přepravy peněz, cenností a cenin</w:t>
      </w:r>
      <w:r w:rsidR="00A74361">
        <w:rPr>
          <w:bCs/>
          <w:color w:val="000000"/>
        </w:rPr>
        <w:t xml:space="preserve">, </w:t>
      </w:r>
      <w:r w:rsidR="00A74361">
        <w:t>pojištění elektroniky a elektronických zařízení</w:t>
      </w:r>
      <w:r w:rsidR="00A74361">
        <w:rPr>
          <w:bCs/>
          <w:color w:val="000000"/>
        </w:rPr>
        <w:t xml:space="preserve"> a </w:t>
      </w:r>
      <w:r w:rsidR="00A74361">
        <w:t xml:space="preserve">pojištění strojů a strojních zařízení. </w:t>
      </w:r>
      <w:r w:rsidR="00A74361">
        <w:rPr>
          <w:bCs/>
          <w:color w:val="000000"/>
        </w:rPr>
        <w:t>Systém kvantifikace bonifikace dle předchozí věty musí splňovat alespoň následující požadavky zadavatele</w:t>
      </w:r>
      <w:r w:rsidR="004626D0" w:rsidRPr="006F0C18">
        <w:t>:</w:t>
      </w:r>
    </w:p>
    <w:tbl>
      <w:tblPr>
        <w:tblW w:w="7938" w:type="dxa"/>
        <w:tblInd w:w="568" w:type="dxa"/>
        <w:tblCellMar>
          <w:left w:w="40" w:type="dxa"/>
          <w:right w:w="40" w:type="dxa"/>
        </w:tblCellMar>
        <w:tblLook w:val="04A0" w:firstRow="1" w:lastRow="0" w:firstColumn="1" w:lastColumn="0" w:noHBand="0" w:noVBand="1"/>
      </w:tblPr>
      <w:tblGrid>
        <w:gridCol w:w="3969"/>
        <w:gridCol w:w="3969"/>
      </w:tblGrid>
      <w:tr w:rsidR="004626D0" w:rsidRPr="005734A9" w14:paraId="5EEB1AEE" w14:textId="77777777" w:rsidTr="006B56EA">
        <w:tc>
          <w:tcPr>
            <w:tcW w:w="3969" w:type="dxa"/>
            <w:tcBorders>
              <w:top w:val="single" w:sz="6" w:space="0" w:color="auto"/>
              <w:left w:val="single" w:sz="6" w:space="0" w:color="auto"/>
              <w:bottom w:val="single" w:sz="6" w:space="0" w:color="auto"/>
              <w:right w:val="single" w:sz="6" w:space="0" w:color="auto"/>
            </w:tcBorders>
            <w:shd w:val="clear" w:color="auto" w:fill="323E4F" w:themeFill="text2" w:themeFillShade="BF"/>
            <w:vAlign w:val="center"/>
            <w:hideMark/>
          </w:tcPr>
          <w:p w14:paraId="42DEDB5E" w14:textId="77777777" w:rsidR="004626D0" w:rsidRPr="005734A9" w:rsidRDefault="004626D0" w:rsidP="006B56EA">
            <w:pPr>
              <w:pStyle w:val="Style15"/>
              <w:keepLines/>
              <w:widowControl/>
              <w:spacing w:line="276" w:lineRule="auto"/>
              <w:ind w:left="102" w:right="220"/>
              <w:jc w:val="center"/>
              <w:rPr>
                <w:rStyle w:val="FontStyle61"/>
                <w:rFonts w:ascii="Calibri" w:eastAsiaTheme="majorEastAsia" w:hAnsi="Calibri" w:cs="Times New Roman"/>
                <w:b/>
                <w:color w:val="FFFFFF" w:themeColor="background1"/>
                <w:kern w:val="2"/>
                <w:sz w:val="22"/>
                <w:szCs w:val="22"/>
                <w:lang w:eastAsia="en-US"/>
              </w:rPr>
            </w:pPr>
            <w:r w:rsidRPr="005734A9">
              <w:rPr>
                <w:rStyle w:val="FontStyle61"/>
                <w:rFonts w:ascii="Calibri" w:eastAsiaTheme="majorEastAsia" w:hAnsi="Calibri" w:cs="Times New Roman"/>
                <w:b/>
                <w:color w:val="FFFFFF" w:themeColor="background1"/>
                <w:kern w:val="2"/>
                <w:sz w:val="22"/>
                <w:szCs w:val="22"/>
                <w:lang w:eastAsia="en-US"/>
              </w:rPr>
              <w:t>Skutečný škodný průběh</w:t>
            </w:r>
          </w:p>
        </w:tc>
        <w:tc>
          <w:tcPr>
            <w:tcW w:w="3969" w:type="dxa"/>
            <w:tcBorders>
              <w:top w:val="single" w:sz="6" w:space="0" w:color="auto"/>
              <w:left w:val="single" w:sz="6" w:space="0" w:color="auto"/>
              <w:bottom w:val="single" w:sz="6" w:space="0" w:color="auto"/>
              <w:right w:val="single" w:sz="6" w:space="0" w:color="auto"/>
            </w:tcBorders>
            <w:shd w:val="clear" w:color="auto" w:fill="323E4F" w:themeFill="text2" w:themeFillShade="BF"/>
            <w:vAlign w:val="center"/>
            <w:hideMark/>
          </w:tcPr>
          <w:p w14:paraId="7A92704C" w14:textId="77777777" w:rsidR="004626D0" w:rsidRPr="005734A9" w:rsidRDefault="004626D0" w:rsidP="006B56EA">
            <w:pPr>
              <w:pStyle w:val="Style15"/>
              <w:keepLines/>
              <w:widowControl/>
              <w:spacing w:line="276" w:lineRule="auto"/>
              <w:ind w:left="102" w:right="220"/>
              <w:jc w:val="center"/>
              <w:rPr>
                <w:rStyle w:val="FontStyle61"/>
                <w:rFonts w:ascii="Calibri" w:eastAsiaTheme="majorEastAsia" w:hAnsi="Calibri" w:cs="Times New Roman"/>
                <w:b/>
                <w:color w:val="FFFFFF" w:themeColor="background1"/>
                <w:kern w:val="2"/>
                <w:sz w:val="22"/>
                <w:szCs w:val="22"/>
                <w:lang w:eastAsia="en-US"/>
              </w:rPr>
            </w:pPr>
            <w:r w:rsidRPr="005734A9">
              <w:rPr>
                <w:rStyle w:val="FontStyle61"/>
                <w:rFonts w:ascii="Calibri" w:eastAsiaTheme="majorEastAsia" w:hAnsi="Calibri" w:cs="Times New Roman"/>
                <w:b/>
                <w:color w:val="FFFFFF" w:themeColor="background1"/>
                <w:kern w:val="2"/>
                <w:sz w:val="22"/>
                <w:szCs w:val="22"/>
                <w:lang w:eastAsia="en-US"/>
              </w:rPr>
              <w:t>Bonifikace</w:t>
            </w:r>
          </w:p>
        </w:tc>
      </w:tr>
      <w:tr w:rsidR="004626D0" w14:paraId="028DB5DC" w14:textId="77777777" w:rsidTr="006B56EA">
        <w:tc>
          <w:tcPr>
            <w:tcW w:w="3969" w:type="dxa"/>
            <w:tcBorders>
              <w:top w:val="single" w:sz="6" w:space="0" w:color="auto"/>
              <w:left w:val="single" w:sz="6" w:space="0" w:color="auto"/>
              <w:bottom w:val="single" w:sz="6" w:space="0" w:color="auto"/>
              <w:right w:val="single" w:sz="6" w:space="0" w:color="auto"/>
            </w:tcBorders>
            <w:vAlign w:val="center"/>
            <w:hideMark/>
          </w:tcPr>
          <w:p w14:paraId="7C74F818" w14:textId="77777777" w:rsidR="004626D0" w:rsidRPr="005734A9" w:rsidRDefault="004626D0" w:rsidP="006B56EA">
            <w:pPr>
              <w:pStyle w:val="Style15"/>
              <w:keepLines/>
              <w:widowControl/>
              <w:spacing w:line="276" w:lineRule="auto"/>
              <w:ind w:left="102" w:right="220"/>
              <w:jc w:val="center"/>
              <w:rPr>
                <w:rStyle w:val="FontStyle61"/>
                <w:rFonts w:ascii="Calibri" w:eastAsiaTheme="majorEastAsia" w:hAnsi="Calibri" w:cs="Times New Roman"/>
                <w:color w:val="000000"/>
                <w:kern w:val="2"/>
                <w:sz w:val="22"/>
                <w:szCs w:val="22"/>
                <w:lang w:eastAsia="en-US"/>
              </w:rPr>
            </w:pPr>
            <w:r w:rsidRPr="005734A9">
              <w:rPr>
                <w:rStyle w:val="FontStyle61"/>
                <w:rFonts w:ascii="Calibri" w:eastAsiaTheme="majorEastAsia" w:hAnsi="Calibri" w:cs="Times New Roman"/>
                <w:color w:val="000000"/>
                <w:kern w:val="2"/>
                <w:sz w:val="22"/>
                <w:szCs w:val="22"/>
                <w:lang w:eastAsia="en-US"/>
              </w:rPr>
              <w:t>0 % až 10 % včetně</w:t>
            </w:r>
          </w:p>
        </w:tc>
        <w:tc>
          <w:tcPr>
            <w:tcW w:w="3969" w:type="dxa"/>
            <w:tcBorders>
              <w:top w:val="single" w:sz="6" w:space="0" w:color="auto"/>
              <w:left w:val="single" w:sz="6" w:space="0" w:color="auto"/>
              <w:bottom w:val="single" w:sz="6" w:space="0" w:color="auto"/>
              <w:right w:val="single" w:sz="6" w:space="0" w:color="auto"/>
            </w:tcBorders>
            <w:vAlign w:val="center"/>
            <w:hideMark/>
          </w:tcPr>
          <w:p w14:paraId="2E5EB68B" w14:textId="77777777" w:rsidR="004626D0" w:rsidRPr="005734A9" w:rsidRDefault="004626D0" w:rsidP="006B56EA">
            <w:pPr>
              <w:pStyle w:val="Style15"/>
              <w:keepLines/>
              <w:widowControl/>
              <w:spacing w:line="276" w:lineRule="auto"/>
              <w:ind w:left="102" w:right="220"/>
              <w:jc w:val="center"/>
              <w:rPr>
                <w:rStyle w:val="FontStyle61"/>
                <w:rFonts w:ascii="Calibri" w:eastAsiaTheme="majorEastAsia" w:hAnsi="Calibri" w:cs="Times New Roman"/>
                <w:color w:val="000000"/>
                <w:kern w:val="2"/>
                <w:sz w:val="22"/>
                <w:szCs w:val="22"/>
                <w:lang w:eastAsia="en-US"/>
              </w:rPr>
            </w:pPr>
            <w:r w:rsidRPr="005734A9">
              <w:rPr>
                <w:rStyle w:val="FontStyle61"/>
                <w:rFonts w:ascii="Calibri" w:eastAsiaTheme="majorEastAsia" w:hAnsi="Calibri" w:cs="Times New Roman"/>
                <w:color w:val="000000"/>
                <w:kern w:val="2"/>
                <w:sz w:val="22"/>
                <w:szCs w:val="22"/>
                <w:lang w:eastAsia="en-US"/>
              </w:rPr>
              <w:t xml:space="preserve">30 % přijatého pojistného dle návrhu </w:t>
            </w:r>
            <w:r>
              <w:rPr>
                <w:rStyle w:val="FontStyle61"/>
                <w:rFonts w:ascii="Calibri" w:eastAsiaTheme="majorEastAsia" w:hAnsi="Calibri" w:cs="Times New Roman"/>
                <w:color w:val="000000"/>
                <w:kern w:val="2"/>
                <w:sz w:val="22"/>
                <w:szCs w:val="22"/>
                <w:lang w:eastAsia="en-US"/>
              </w:rPr>
              <w:t>ú</w:t>
            </w:r>
            <w:r>
              <w:rPr>
                <w:rStyle w:val="FontStyle61"/>
                <w:rFonts w:ascii="Calibri" w:eastAsiaTheme="majorEastAsia" w:hAnsi="Calibri"/>
                <w:kern w:val="2"/>
                <w:sz w:val="22"/>
                <w:szCs w:val="22"/>
                <w:lang w:eastAsia="en-US"/>
              </w:rPr>
              <w:t>častníka zadávacího řízení</w:t>
            </w:r>
          </w:p>
        </w:tc>
      </w:tr>
      <w:tr w:rsidR="004626D0" w14:paraId="40098374" w14:textId="77777777" w:rsidTr="006B56EA">
        <w:tc>
          <w:tcPr>
            <w:tcW w:w="3969" w:type="dxa"/>
            <w:tcBorders>
              <w:top w:val="single" w:sz="6" w:space="0" w:color="auto"/>
              <w:left w:val="single" w:sz="6" w:space="0" w:color="auto"/>
              <w:bottom w:val="single" w:sz="6" w:space="0" w:color="auto"/>
              <w:right w:val="single" w:sz="6" w:space="0" w:color="auto"/>
            </w:tcBorders>
            <w:vAlign w:val="center"/>
            <w:hideMark/>
          </w:tcPr>
          <w:p w14:paraId="118677B7" w14:textId="77777777" w:rsidR="004626D0" w:rsidRPr="005734A9" w:rsidRDefault="004626D0" w:rsidP="006B56EA">
            <w:pPr>
              <w:pStyle w:val="Style15"/>
              <w:keepLines/>
              <w:widowControl/>
              <w:spacing w:line="276" w:lineRule="auto"/>
              <w:ind w:left="102" w:right="220"/>
              <w:jc w:val="center"/>
              <w:rPr>
                <w:rStyle w:val="FontStyle61"/>
                <w:rFonts w:ascii="Calibri" w:eastAsiaTheme="majorEastAsia" w:hAnsi="Calibri" w:cs="Times New Roman"/>
                <w:color w:val="000000"/>
                <w:kern w:val="2"/>
                <w:sz w:val="22"/>
                <w:szCs w:val="22"/>
                <w:lang w:eastAsia="en-US"/>
              </w:rPr>
            </w:pPr>
            <w:r w:rsidRPr="005734A9">
              <w:rPr>
                <w:rStyle w:val="FontStyle61"/>
                <w:rFonts w:ascii="Calibri" w:eastAsiaTheme="majorEastAsia" w:hAnsi="Calibri" w:cs="Times New Roman"/>
                <w:color w:val="000000"/>
                <w:kern w:val="2"/>
                <w:sz w:val="22"/>
                <w:szCs w:val="22"/>
                <w:lang w:eastAsia="en-US"/>
              </w:rPr>
              <w:t>více jak 10 % až 20 % včetně</w:t>
            </w:r>
          </w:p>
        </w:tc>
        <w:tc>
          <w:tcPr>
            <w:tcW w:w="3969" w:type="dxa"/>
            <w:tcBorders>
              <w:top w:val="single" w:sz="6" w:space="0" w:color="auto"/>
              <w:left w:val="single" w:sz="6" w:space="0" w:color="auto"/>
              <w:bottom w:val="single" w:sz="6" w:space="0" w:color="auto"/>
              <w:right w:val="single" w:sz="6" w:space="0" w:color="auto"/>
            </w:tcBorders>
            <w:vAlign w:val="center"/>
            <w:hideMark/>
          </w:tcPr>
          <w:p w14:paraId="6EAB6333" w14:textId="77777777" w:rsidR="004626D0" w:rsidRPr="005734A9" w:rsidRDefault="004626D0" w:rsidP="006B56EA">
            <w:pPr>
              <w:pStyle w:val="Style15"/>
              <w:keepLines/>
              <w:widowControl/>
              <w:spacing w:line="276" w:lineRule="auto"/>
              <w:ind w:left="102" w:right="220"/>
              <w:jc w:val="center"/>
              <w:rPr>
                <w:rStyle w:val="FontStyle61"/>
                <w:rFonts w:ascii="Calibri" w:eastAsiaTheme="majorEastAsia" w:hAnsi="Calibri" w:cs="Times New Roman"/>
                <w:color w:val="000000"/>
                <w:kern w:val="2"/>
                <w:sz w:val="22"/>
                <w:szCs w:val="22"/>
                <w:lang w:eastAsia="en-US"/>
              </w:rPr>
            </w:pPr>
            <w:r w:rsidRPr="005734A9">
              <w:rPr>
                <w:rStyle w:val="FontStyle61"/>
                <w:rFonts w:ascii="Calibri" w:eastAsiaTheme="majorEastAsia" w:hAnsi="Calibri" w:cs="Times New Roman"/>
                <w:color w:val="000000"/>
                <w:kern w:val="2"/>
                <w:sz w:val="22"/>
                <w:szCs w:val="22"/>
                <w:lang w:eastAsia="en-US"/>
              </w:rPr>
              <w:t xml:space="preserve">20 % přijatého pojistného dle návrhu </w:t>
            </w:r>
            <w:r>
              <w:rPr>
                <w:rStyle w:val="FontStyle61"/>
                <w:rFonts w:ascii="Calibri" w:eastAsiaTheme="majorEastAsia" w:hAnsi="Calibri" w:cs="Times New Roman"/>
                <w:color w:val="000000"/>
                <w:kern w:val="2"/>
                <w:sz w:val="22"/>
                <w:szCs w:val="22"/>
                <w:lang w:eastAsia="en-US"/>
              </w:rPr>
              <w:t>ú</w:t>
            </w:r>
            <w:r>
              <w:rPr>
                <w:rStyle w:val="FontStyle61"/>
                <w:rFonts w:ascii="Calibri" w:eastAsiaTheme="majorEastAsia" w:hAnsi="Calibri"/>
                <w:kern w:val="2"/>
                <w:sz w:val="22"/>
                <w:szCs w:val="22"/>
                <w:lang w:eastAsia="en-US"/>
              </w:rPr>
              <w:t>častníka zadávacího řízení</w:t>
            </w:r>
          </w:p>
        </w:tc>
      </w:tr>
      <w:tr w:rsidR="004626D0" w14:paraId="78D94672" w14:textId="77777777" w:rsidTr="006B56EA">
        <w:tc>
          <w:tcPr>
            <w:tcW w:w="3969" w:type="dxa"/>
            <w:tcBorders>
              <w:top w:val="single" w:sz="6" w:space="0" w:color="auto"/>
              <w:left w:val="single" w:sz="6" w:space="0" w:color="auto"/>
              <w:bottom w:val="single" w:sz="6" w:space="0" w:color="auto"/>
              <w:right w:val="single" w:sz="6" w:space="0" w:color="auto"/>
            </w:tcBorders>
            <w:vAlign w:val="center"/>
            <w:hideMark/>
          </w:tcPr>
          <w:p w14:paraId="4804D095" w14:textId="77777777" w:rsidR="004626D0" w:rsidRPr="005734A9" w:rsidRDefault="004626D0" w:rsidP="006B56EA">
            <w:pPr>
              <w:pStyle w:val="Style15"/>
              <w:keepLines/>
              <w:widowControl/>
              <w:spacing w:line="276" w:lineRule="auto"/>
              <w:ind w:left="102" w:right="220"/>
              <w:jc w:val="center"/>
              <w:rPr>
                <w:rStyle w:val="FontStyle61"/>
                <w:rFonts w:ascii="Calibri" w:eastAsiaTheme="majorEastAsia" w:hAnsi="Calibri" w:cs="Times New Roman"/>
                <w:color w:val="000000"/>
                <w:kern w:val="2"/>
                <w:sz w:val="22"/>
                <w:szCs w:val="22"/>
                <w:lang w:eastAsia="en-US"/>
              </w:rPr>
            </w:pPr>
            <w:r w:rsidRPr="005734A9">
              <w:rPr>
                <w:rStyle w:val="FontStyle61"/>
                <w:rFonts w:ascii="Calibri" w:eastAsiaTheme="majorEastAsia" w:hAnsi="Calibri" w:cs="Times New Roman"/>
                <w:color w:val="000000"/>
                <w:kern w:val="2"/>
                <w:sz w:val="22"/>
                <w:szCs w:val="22"/>
                <w:lang w:eastAsia="en-US"/>
              </w:rPr>
              <w:t>více jak 20 % až 30 % včetně</w:t>
            </w:r>
          </w:p>
        </w:tc>
        <w:tc>
          <w:tcPr>
            <w:tcW w:w="3969" w:type="dxa"/>
            <w:tcBorders>
              <w:top w:val="single" w:sz="6" w:space="0" w:color="auto"/>
              <w:left w:val="single" w:sz="6" w:space="0" w:color="auto"/>
              <w:bottom w:val="single" w:sz="6" w:space="0" w:color="auto"/>
              <w:right w:val="single" w:sz="6" w:space="0" w:color="auto"/>
            </w:tcBorders>
            <w:vAlign w:val="center"/>
            <w:hideMark/>
          </w:tcPr>
          <w:p w14:paraId="7BC2BCFE" w14:textId="77777777" w:rsidR="004626D0" w:rsidRPr="005734A9" w:rsidRDefault="004626D0" w:rsidP="006B56EA">
            <w:pPr>
              <w:pStyle w:val="Style15"/>
              <w:keepLines/>
              <w:widowControl/>
              <w:spacing w:line="276" w:lineRule="auto"/>
              <w:ind w:left="102" w:right="220"/>
              <w:jc w:val="center"/>
              <w:rPr>
                <w:rStyle w:val="FontStyle61"/>
                <w:rFonts w:ascii="Calibri" w:eastAsiaTheme="majorEastAsia" w:hAnsi="Calibri" w:cs="Times New Roman"/>
                <w:color w:val="000000"/>
                <w:kern w:val="2"/>
                <w:sz w:val="22"/>
                <w:szCs w:val="22"/>
                <w:lang w:eastAsia="en-US"/>
              </w:rPr>
            </w:pPr>
            <w:r w:rsidRPr="005734A9">
              <w:rPr>
                <w:rStyle w:val="FontStyle61"/>
                <w:rFonts w:ascii="Calibri" w:eastAsiaTheme="majorEastAsia" w:hAnsi="Calibri" w:cs="Times New Roman"/>
                <w:color w:val="000000"/>
                <w:kern w:val="2"/>
                <w:sz w:val="22"/>
                <w:szCs w:val="22"/>
                <w:lang w:eastAsia="en-US"/>
              </w:rPr>
              <w:t xml:space="preserve">10 % přijatého pojistného dle návrhu </w:t>
            </w:r>
            <w:r>
              <w:rPr>
                <w:rStyle w:val="FontStyle61"/>
                <w:rFonts w:ascii="Calibri" w:eastAsiaTheme="majorEastAsia" w:hAnsi="Calibri" w:cs="Times New Roman"/>
                <w:color w:val="000000"/>
                <w:kern w:val="2"/>
                <w:sz w:val="22"/>
                <w:szCs w:val="22"/>
                <w:lang w:eastAsia="en-US"/>
              </w:rPr>
              <w:t>ú</w:t>
            </w:r>
            <w:r>
              <w:rPr>
                <w:rStyle w:val="FontStyle61"/>
                <w:rFonts w:ascii="Calibri" w:eastAsiaTheme="majorEastAsia" w:hAnsi="Calibri"/>
                <w:kern w:val="2"/>
                <w:sz w:val="22"/>
                <w:szCs w:val="22"/>
                <w:lang w:eastAsia="en-US"/>
              </w:rPr>
              <w:t>častníka zadávacího řízení</w:t>
            </w:r>
          </w:p>
        </w:tc>
      </w:tr>
    </w:tbl>
    <w:p w14:paraId="2FFBF1C2" w14:textId="3C7D5EFD" w:rsidR="004626D0" w:rsidRDefault="00A74361" w:rsidP="00554B69">
      <w:pPr>
        <w:pStyle w:val="2sltext"/>
        <w:numPr>
          <w:ilvl w:val="0"/>
          <w:numId w:val="20"/>
        </w:numPr>
        <w:ind w:left="1276"/>
        <w:rPr>
          <w:bCs/>
          <w:color w:val="000000"/>
        </w:rPr>
      </w:pPr>
      <w:r>
        <w:rPr>
          <w:bCs/>
          <w:color w:val="000000"/>
        </w:rPr>
        <w:t>Pro účely systému kvantifikace bonifikace bude účastník zadávacího řízení od vyplaceného pojistného plnění odečítat přijaté regresy</w:t>
      </w:r>
      <w:r w:rsidR="004626D0">
        <w:rPr>
          <w:bCs/>
          <w:color w:val="000000"/>
        </w:rPr>
        <w:t>.</w:t>
      </w:r>
    </w:p>
    <w:p w14:paraId="6F767AE4" w14:textId="12FBAAE6" w:rsidR="004626D0" w:rsidRDefault="00A74361" w:rsidP="00554B69">
      <w:pPr>
        <w:pStyle w:val="2sltext"/>
        <w:numPr>
          <w:ilvl w:val="0"/>
          <w:numId w:val="20"/>
        </w:numPr>
        <w:ind w:left="1276"/>
        <w:rPr>
          <w:bCs/>
          <w:color w:val="000000"/>
        </w:rPr>
      </w:pPr>
      <w:r>
        <w:rPr>
          <w:bCs/>
          <w:color w:val="000000"/>
        </w:rPr>
        <w:lastRenderedPageBreak/>
        <w:t>Na bonifikaci stanovenou ve smlouvě na plnění veřejné zakázky bude mít zadavatel nárok bez ohledu na skutečnost, jaký bude z předmětné smlouvy škodný průběh v předchozím hodnoceném období, nebo zda bude pojištění v dalším pojistném roce pokračovat, nebo dojde k ukončení platnosti smlouvy na plnění veřejné zakázky v průběhu pojistné doby/pojistného období</w:t>
      </w:r>
      <w:r w:rsidR="004626D0">
        <w:rPr>
          <w:bCs/>
          <w:color w:val="000000"/>
        </w:rPr>
        <w:t>.</w:t>
      </w:r>
    </w:p>
    <w:p w14:paraId="2F555E63" w14:textId="5EA67EA1" w:rsidR="004626D0" w:rsidRDefault="00A74361" w:rsidP="00554B69">
      <w:pPr>
        <w:pStyle w:val="2sltext"/>
        <w:numPr>
          <w:ilvl w:val="0"/>
          <w:numId w:val="20"/>
        </w:numPr>
        <w:ind w:left="1276"/>
        <w:rPr>
          <w:bCs/>
          <w:color w:val="000000"/>
        </w:rPr>
      </w:pPr>
      <w:r>
        <w:rPr>
          <w:bCs/>
          <w:color w:val="000000"/>
        </w:rPr>
        <w:t>Nárok na bonifikaci v rámci systému kvantifikace bonifikace bude možné uplatnit do šesti měsíců po uplynutí hodnoceného období. Na základě žádosti zadavatele, nejdříve však tři měsíce po uplynutí hodnoceného období, vyhodnotí účastník zadávacího řízení škodný průběh za účelem stanovení nároku na bonifikaci</w:t>
      </w:r>
      <w:r w:rsidR="004626D0">
        <w:rPr>
          <w:bCs/>
          <w:color w:val="000000"/>
        </w:rPr>
        <w:t>.</w:t>
      </w:r>
    </w:p>
    <w:p w14:paraId="61B09DDE" w14:textId="1A8A79C7" w:rsidR="004626D0" w:rsidRDefault="00A74361" w:rsidP="00554B69">
      <w:pPr>
        <w:pStyle w:val="2sltext"/>
        <w:numPr>
          <w:ilvl w:val="0"/>
          <w:numId w:val="20"/>
        </w:numPr>
        <w:ind w:left="1276"/>
        <w:rPr>
          <w:bCs/>
          <w:color w:val="000000"/>
        </w:rPr>
      </w:pPr>
      <w:r>
        <w:rPr>
          <w:bCs/>
          <w:color w:val="000000"/>
        </w:rPr>
        <w:t>Účastník zadávacího řízení poukáže bonifikaci zadavateli do 3 měsíců ode dne, kdy o ni zadavatel požádá, nejdříve však 3 měsíce po uplynutí hodnoceného období, a to na bankovní účet stanovený zadavatelem</w:t>
      </w:r>
      <w:r w:rsidR="004626D0">
        <w:rPr>
          <w:bCs/>
          <w:color w:val="000000"/>
        </w:rPr>
        <w:t>.</w:t>
      </w:r>
    </w:p>
    <w:p w14:paraId="7E62EF71" w14:textId="28113344" w:rsidR="00181226" w:rsidRPr="00056D43" w:rsidRDefault="004626D0" w:rsidP="004626D0">
      <w:pPr>
        <w:pStyle w:val="2nesltext"/>
        <w:spacing w:before="240"/>
        <w:rPr>
          <w:b/>
        </w:rPr>
      </w:pPr>
      <w:r>
        <w:rPr>
          <w:b/>
        </w:rPr>
        <w:t>v</w:t>
      </w:r>
      <w:r w:rsidR="00181226" w:rsidRPr="00056D43">
        <w:rPr>
          <w:b/>
        </w:rPr>
        <w:t xml:space="preserve"> případě, že </w:t>
      </w:r>
      <w:r w:rsidR="00FE0C63" w:rsidRPr="00056D43">
        <w:rPr>
          <w:b/>
        </w:rPr>
        <w:t>obchodní podmínky</w:t>
      </w:r>
      <w:r w:rsidR="00181226" w:rsidRPr="00056D43">
        <w:rPr>
          <w:b/>
        </w:rPr>
        <w:t xml:space="preserve"> bud</w:t>
      </w:r>
      <w:r w:rsidR="00FE0C63" w:rsidRPr="00056D43">
        <w:rPr>
          <w:b/>
        </w:rPr>
        <w:t>ou</w:t>
      </w:r>
      <w:r w:rsidR="00181226" w:rsidRPr="00056D43">
        <w:rPr>
          <w:b/>
        </w:rPr>
        <w:t xml:space="preserve"> obsahovat ujednání, která budou svým zněním, smyslem nebo účelem v rozporu s podmínkami a požadavky zadavatele uvedenými v zadávací dokumentaci</w:t>
      </w:r>
      <w:r w:rsidR="007C7C51" w:rsidRPr="00056D43">
        <w:rPr>
          <w:b/>
        </w:rPr>
        <w:t xml:space="preserve"> veřejné zakázky</w:t>
      </w:r>
      <w:r w:rsidR="00181226" w:rsidRPr="00056D43">
        <w:rPr>
          <w:b/>
        </w:rPr>
        <w:t xml:space="preserve">, platí, že se k takovým ujednáním </w:t>
      </w:r>
      <w:r w:rsidR="006F658B" w:rsidRPr="00056D43">
        <w:rPr>
          <w:b/>
        </w:rPr>
        <w:t xml:space="preserve">obchodních podmínek </w:t>
      </w:r>
      <w:r w:rsidR="00662A89" w:rsidRPr="00056D43">
        <w:rPr>
          <w:b/>
        </w:rPr>
        <w:t>nepřihlíží;</w:t>
      </w:r>
    </w:p>
    <w:p w14:paraId="7A6F0D5D" w14:textId="77777777" w:rsidR="00817B88" w:rsidRPr="000F6ACF" w:rsidRDefault="00817B88" w:rsidP="00817B88">
      <w:pPr>
        <w:pStyle w:val="2nesltext"/>
        <w:keepNext/>
        <w:spacing w:before="480"/>
      </w:pPr>
      <w:r w:rsidRPr="000F6ACF">
        <w:t xml:space="preserve">V </w:t>
      </w:r>
      <w:r w:rsidR="00546F72">
        <w:rPr>
          <w:highlight w:val="cyan"/>
          <w:lang w:bidi="en-US"/>
        </w:rPr>
        <w:fldChar w:fldCharType="begin"/>
      </w:r>
      <w:r>
        <w:rPr>
          <w:highlight w:val="cyan"/>
          <w:lang w:bidi="en-US"/>
        </w:rPr>
        <w:instrText xml:space="preserve"> MACROBUTTON  AkcentČárka "[Místo - doplní účastník]" </w:instrText>
      </w:r>
      <w:r w:rsidR="00546F72">
        <w:rPr>
          <w:highlight w:val="cyan"/>
          <w:lang w:bidi="en-US"/>
        </w:rPr>
        <w:fldChar w:fldCharType="end"/>
      </w:r>
      <w:r w:rsidRPr="000F6ACF">
        <w:rPr>
          <w:lang w:bidi="en-US"/>
        </w:rPr>
        <w:t xml:space="preserve"> </w:t>
      </w:r>
      <w:r w:rsidRPr="000F6ACF">
        <w:t xml:space="preserve">dne </w:t>
      </w:r>
      <w:r w:rsidR="00546F72">
        <w:rPr>
          <w:highlight w:val="cyan"/>
          <w:lang w:bidi="en-US"/>
        </w:rPr>
        <w:fldChar w:fldCharType="begin"/>
      </w:r>
      <w:r>
        <w:rPr>
          <w:highlight w:val="cyan"/>
          <w:lang w:bidi="en-US"/>
        </w:rPr>
        <w:instrText xml:space="preserve"> MACROBUTTON  AkcentČárka "[Datum - doplní účastník]" </w:instrText>
      </w:r>
      <w:r w:rsidR="00546F72">
        <w:rPr>
          <w:highlight w:val="cyan"/>
          <w:lang w:bidi="en-US"/>
        </w:rPr>
        <w:fldChar w:fldCharType="end"/>
      </w:r>
    </w:p>
    <w:p w14:paraId="1160A76B" w14:textId="77777777" w:rsidR="00817B88" w:rsidRPr="00817B88" w:rsidRDefault="00546F72" w:rsidP="00817B88">
      <w:pPr>
        <w:pStyle w:val="2nesltext"/>
        <w:keepNext/>
        <w:rPr>
          <w:lang w:bidi="en-US"/>
        </w:rPr>
      </w:pPr>
      <w:r>
        <w:rPr>
          <w:highlight w:val="cyan"/>
          <w:lang w:bidi="en-US"/>
        </w:rPr>
        <w:fldChar w:fldCharType="begin"/>
      </w:r>
      <w:r w:rsidR="00817B88">
        <w:rPr>
          <w:highlight w:val="cyan"/>
          <w:lang w:bidi="en-US"/>
        </w:rPr>
        <w:instrText xml:space="preserve"> MACROBUTTON  AkcentČárka "[Název účastníka - doplní účastník]" </w:instrText>
      </w:r>
      <w:r>
        <w:rPr>
          <w:highlight w:val="cyan"/>
          <w:lang w:bidi="en-US"/>
        </w:rPr>
        <w:fldChar w:fldCharType="end"/>
      </w:r>
    </w:p>
    <w:p w14:paraId="44036673" w14:textId="77777777" w:rsidR="00817B88" w:rsidRPr="00817B88" w:rsidRDefault="00546F72" w:rsidP="00817B88">
      <w:pPr>
        <w:pStyle w:val="2nesltext"/>
        <w:keepNext/>
      </w:pPr>
      <w:r>
        <w:rPr>
          <w:highlight w:val="cyan"/>
          <w:lang w:bidi="en-US"/>
        </w:rPr>
        <w:fldChar w:fldCharType="begin"/>
      </w:r>
      <w:r w:rsidR="00817B88">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517E148E" w14:textId="77777777" w:rsidR="00817B88" w:rsidRPr="000F6ACF" w:rsidRDefault="00817B88" w:rsidP="00817B88">
      <w:pPr>
        <w:pStyle w:val="2nesltext"/>
        <w:keepNext/>
        <w:spacing w:before="960"/>
      </w:pPr>
      <w:r w:rsidRPr="000F6ACF">
        <w:t>…………………………………………………..</w:t>
      </w:r>
    </w:p>
    <w:p w14:paraId="6CE77010" w14:textId="77777777" w:rsidR="00817B88" w:rsidRPr="000F6ACF" w:rsidRDefault="00817B88" w:rsidP="00817B88">
      <w:pPr>
        <w:pStyle w:val="2nesltext"/>
        <w:keepNext/>
      </w:pPr>
      <w:r w:rsidRPr="007B01C2">
        <w:rPr>
          <w:i/>
        </w:rPr>
        <w:t>(podpis)</w:t>
      </w:r>
    </w:p>
    <w:sectPr w:rsidR="00817B88" w:rsidRPr="000F6ACF" w:rsidSect="002512C7">
      <w:footerReference w:type="even" r:id="rId7"/>
      <w:footerReference w:type="default" r:id="rId8"/>
      <w:footerReference w:type="first" r:id="rId9"/>
      <w:type w:val="continuous"/>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ED36C4" w14:textId="77777777" w:rsidR="005A49C7" w:rsidRDefault="005A49C7">
      <w:pPr>
        <w:spacing w:after="0" w:line="240" w:lineRule="auto"/>
      </w:pPr>
      <w:r>
        <w:separator/>
      </w:r>
    </w:p>
  </w:endnote>
  <w:endnote w:type="continuationSeparator" w:id="0">
    <w:p w14:paraId="348C8827" w14:textId="77777777" w:rsidR="005A49C7" w:rsidRDefault="005A49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089A4A" w14:textId="77777777" w:rsidR="002512C7" w:rsidRDefault="00546F72"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separate"/>
    </w:r>
    <w:r w:rsidR="0047793A">
      <w:rPr>
        <w:rStyle w:val="slostrnky"/>
        <w:noProof/>
      </w:rPr>
      <w:t>3</w:t>
    </w:r>
    <w:r>
      <w:rPr>
        <w:rStyle w:val="slostrnky"/>
      </w:rPr>
      <w:fldChar w:fldCharType="end"/>
    </w:r>
  </w:p>
  <w:p w14:paraId="5813C80C"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EFE40E" w14:textId="6E172583" w:rsidR="002512C7" w:rsidRPr="00D1774D" w:rsidRDefault="00A52C11" w:rsidP="00D95EA6">
    <w:pPr>
      <w:pStyle w:val="Zpat"/>
      <w:rPr>
        <w:rFonts w:ascii="Calibri" w:hAnsi="Calibri"/>
        <w:sz w:val="22"/>
        <w:szCs w:val="22"/>
      </w:rPr>
    </w:pPr>
    <w:r>
      <w:rPr>
        <w:rFonts w:ascii="Calibri" w:hAnsi="Calibri"/>
        <w:sz w:val="22"/>
      </w:rPr>
      <w:t>D</w:t>
    </w:r>
    <w:r w:rsidR="00BB1DE2" w:rsidRPr="00B20C26">
      <w:rPr>
        <w:rFonts w:ascii="Calibri" w:hAnsi="Calibri"/>
        <w:sz w:val="22"/>
      </w:rPr>
      <w:t>okumentace</w:t>
    </w:r>
    <w:r w:rsidR="00BB1DE2" w:rsidRPr="00A346BD">
      <w:rPr>
        <w:rFonts w:ascii="Calibri" w:hAnsi="Calibri"/>
        <w:sz w:val="22"/>
      </w:rPr>
      <w:t xml:space="preserve"> </w:t>
    </w:r>
    <w:r>
      <w:rPr>
        <w:rFonts w:ascii="Calibri" w:hAnsi="Calibri"/>
        <w:sz w:val="22"/>
      </w:rPr>
      <w:t xml:space="preserve">zadávacího řízení </w:t>
    </w:r>
    <w:r w:rsidR="003815E1">
      <w:rPr>
        <w:rFonts w:ascii="Calibri" w:hAnsi="Calibri"/>
        <w:b/>
        <w:sz w:val="22"/>
        <w:szCs w:val="22"/>
      </w:rPr>
      <w:t>KVP0524</w:t>
    </w:r>
    <w:r w:rsidR="00BB1DE2" w:rsidRPr="000F3D02">
      <w:rPr>
        <w:rFonts w:ascii="Calibri" w:hAnsi="Calibri"/>
        <w:b/>
        <w:sz w:val="22"/>
        <w:szCs w:val="20"/>
      </w:rPr>
      <w:t xml:space="preserve"> </w:t>
    </w:r>
    <w:r w:rsidR="00BB1DE2" w:rsidRPr="006B5D29">
      <w:rPr>
        <w:rFonts w:ascii="Calibri" w:hAnsi="Calibri"/>
        <w:sz w:val="22"/>
        <w:szCs w:val="20"/>
      </w:rPr>
      <w:t>–</w:t>
    </w:r>
    <w:r w:rsidR="00BB1DE2" w:rsidRPr="00A4713D">
      <w:rPr>
        <w:rFonts w:ascii="Calibri" w:hAnsi="Calibri"/>
        <w:sz w:val="22"/>
        <w:szCs w:val="20"/>
      </w:rPr>
      <w:t xml:space="preserve"> </w:t>
    </w:r>
    <w:r w:rsidR="00BB1DE2" w:rsidRPr="004B7977">
      <w:rPr>
        <w:rFonts w:ascii="Calibri" w:hAnsi="Calibri"/>
        <w:sz w:val="22"/>
        <w:szCs w:val="20"/>
      </w:rPr>
      <w:t xml:space="preserve">příloha č. </w:t>
    </w:r>
    <w:r>
      <w:rPr>
        <w:rFonts w:ascii="Calibri" w:hAnsi="Calibri"/>
        <w:sz w:val="22"/>
        <w:szCs w:val="20"/>
      </w:rPr>
      <w:t>7</w:t>
    </w:r>
    <w:r w:rsidR="002512C7" w:rsidRPr="00D1774D">
      <w:rPr>
        <w:rFonts w:ascii="Calibri" w:hAnsi="Calibri"/>
        <w:sz w:val="22"/>
        <w:szCs w:val="22"/>
      </w:rPr>
      <w:tab/>
      <w:t xml:space="preserve">Stránka </w:t>
    </w:r>
    <w:r w:rsidR="00546F72" w:rsidRPr="00D1774D">
      <w:rPr>
        <w:rFonts w:ascii="Calibri" w:hAnsi="Calibri"/>
        <w:b/>
        <w:sz w:val="22"/>
        <w:szCs w:val="22"/>
      </w:rPr>
      <w:fldChar w:fldCharType="begin"/>
    </w:r>
    <w:r w:rsidR="002512C7" w:rsidRPr="00D1774D">
      <w:rPr>
        <w:rFonts w:ascii="Calibri" w:hAnsi="Calibri"/>
        <w:b/>
        <w:sz w:val="22"/>
        <w:szCs w:val="22"/>
      </w:rPr>
      <w:instrText>PAGE</w:instrText>
    </w:r>
    <w:r w:rsidR="00546F72" w:rsidRPr="00D1774D">
      <w:rPr>
        <w:rFonts w:ascii="Calibri" w:hAnsi="Calibri"/>
        <w:b/>
        <w:sz w:val="22"/>
        <w:szCs w:val="22"/>
      </w:rPr>
      <w:fldChar w:fldCharType="separate"/>
    </w:r>
    <w:r w:rsidR="0047793A">
      <w:rPr>
        <w:rFonts w:ascii="Calibri" w:hAnsi="Calibri"/>
        <w:b/>
        <w:noProof/>
        <w:sz w:val="22"/>
        <w:szCs w:val="22"/>
      </w:rPr>
      <w:t>2</w:t>
    </w:r>
    <w:r w:rsidR="00546F72" w:rsidRPr="00D1774D">
      <w:rPr>
        <w:rFonts w:ascii="Calibri" w:hAnsi="Calibri"/>
        <w:b/>
        <w:sz w:val="22"/>
        <w:szCs w:val="22"/>
      </w:rPr>
      <w:fldChar w:fldCharType="end"/>
    </w:r>
    <w:r w:rsidR="002512C7" w:rsidRPr="00D1774D">
      <w:rPr>
        <w:rFonts w:ascii="Calibri" w:hAnsi="Calibri"/>
        <w:sz w:val="22"/>
        <w:szCs w:val="22"/>
      </w:rPr>
      <w:t xml:space="preserve"> z </w:t>
    </w:r>
    <w:r w:rsidR="00546F72" w:rsidRPr="00D1774D">
      <w:rPr>
        <w:rFonts w:ascii="Calibri" w:hAnsi="Calibri"/>
        <w:b/>
        <w:sz w:val="22"/>
        <w:szCs w:val="22"/>
      </w:rPr>
      <w:fldChar w:fldCharType="begin"/>
    </w:r>
    <w:r w:rsidR="002512C7" w:rsidRPr="00D1774D">
      <w:rPr>
        <w:rFonts w:ascii="Calibri" w:hAnsi="Calibri"/>
        <w:b/>
        <w:sz w:val="22"/>
        <w:szCs w:val="22"/>
      </w:rPr>
      <w:instrText>NUMPAGES</w:instrText>
    </w:r>
    <w:r w:rsidR="00546F72" w:rsidRPr="00D1774D">
      <w:rPr>
        <w:rFonts w:ascii="Calibri" w:hAnsi="Calibri"/>
        <w:b/>
        <w:sz w:val="22"/>
        <w:szCs w:val="22"/>
      </w:rPr>
      <w:fldChar w:fldCharType="separate"/>
    </w:r>
    <w:r w:rsidR="0047793A">
      <w:rPr>
        <w:rFonts w:ascii="Calibri" w:hAnsi="Calibri"/>
        <w:b/>
        <w:noProof/>
        <w:sz w:val="22"/>
        <w:szCs w:val="22"/>
      </w:rPr>
      <w:t>3</w:t>
    </w:r>
    <w:r w:rsidR="00546F72"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BD575E" w14:textId="77777777" w:rsidR="002512C7" w:rsidRPr="00511BEF" w:rsidRDefault="002512C7"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00546F72" w:rsidRPr="00511BEF">
      <w:rPr>
        <w:b/>
        <w:sz w:val="22"/>
        <w:szCs w:val="22"/>
      </w:rPr>
      <w:fldChar w:fldCharType="begin"/>
    </w:r>
    <w:r w:rsidRPr="00511BEF">
      <w:rPr>
        <w:b/>
        <w:sz w:val="22"/>
        <w:szCs w:val="22"/>
      </w:rPr>
      <w:instrText>PAGE</w:instrText>
    </w:r>
    <w:r w:rsidR="00546F72" w:rsidRPr="00511BEF">
      <w:rPr>
        <w:b/>
        <w:sz w:val="22"/>
        <w:szCs w:val="22"/>
      </w:rPr>
      <w:fldChar w:fldCharType="separate"/>
    </w:r>
    <w:r w:rsidR="0047793A">
      <w:rPr>
        <w:b/>
        <w:noProof/>
        <w:sz w:val="22"/>
        <w:szCs w:val="22"/>
      </w:rPr>
      <w:t>3</w:t>
    </w:r>
    <w:r w:rsidR="00546F72" w:rsidRPr="00511BEF">
      <w:rPr>
        <w:b/>
        <w:sz w:val="22"/>
        <w:szCs w:val="22"/>
      </w:rPr>
      <w:fldChar w:fldCharType="end"/>
    </w:r>
    <w:r w:rsidRPr="00511BEF">
      <w:rPr>
        <w:sz w:val="22"/>
        <w:szCs w:val="22"/>
      </w:rPr>
      <w:t xml:space="preserve"> z </w:t>
    </w:r>
    <w:r w:rsidR="00546F72" w:rsidRPr="00511BEF">
      <w:rPr>
        <w:b/>
        <w:sz w:val="22"/>
        <w:szCs w:val="22"/>
      </w:rPr>
      <w:fldChar w:fldCharType="begin"/>
    </w:r>
    <w:r w:rsidRPr="00511BEF">
      <w:rPr>
        <w:b/>
        <w:sz w:val="22"/>
        <w:szCs w:val="22"/>
      </w:rPr>
      <w:instrText>NUMPAGES</w:instrText>
    </w:r>
    <w:r w:rsidR="00546F72" w:rsidRPr="00511BEF">
      <w:rPr>
        <w:b/>
        <w:sz w:val="22"/>
        <w:szCs w:val="22"/>
      </w:rPr>
      <w:fldChar w:fldCharType="separate"/>
    </w:r>
    <w:r w:rsidR="0047793A">
      <w:rPr>
        <w:b/>
        <w:noProof/>
        <w:sz w:val="22"/>
        <w:szCs w:val="22"/>
      </w:rPr>
      <w:t>3</w:t>
    </w:r>
    <w:r w:rsidR="00546F72"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F3B6C6" w14:textId="77777777" w:rsidR="005A49C7" w:rsidRDefault="005A49C7">
      <w:pPr>
        <w:spacing w:after="0" w:line="240" w:lineRule="auto"/>
      </w:pPr>
      <w:r>
        <w:separator/>
      </w:r>
    </w:p>
  </w:footnote>
  <w:footnote w:type="continuationSeparator" w:id="0">
    <w:p w14:paraId="6CA8E110" w14:textId="77777777" w:rsidR="005A49C7" w:rsidRDefault="005A49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677250"/>
    <w:multiLevelType w:val="hybridMultilevel"/>
    <w:tmpl w:val="EA762E08"/>
    <w:lvl w:ilvl="0" w:tplc="A4A271E8">
      <w:start w:val="1"/>
      <w:numFmt w:val="bullet"/>
      <w:lvlText w:val="-"/>
      <w:lvlJc w:val="left"/>
      <w:pPr>
        <w:ind w:left="720" w:hanging="360"/>
      </w:pPr>
      <w:rPr>
        <w:rFonts w:ascii="Calibri" w:hAnsi="Calibri"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 w15:restartNumberingAfterBreak="0">
    <w:nsid w:val="196564B9"/>
    <w:multiLevelType w:val="hybridMultilevel"/>
    <w:tmpl w:val="34A8880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05000F">
      <w:start w:val="1"/>
      <w:numFmt w:val="decimal"/>
      <w:lvlText w:val="%3."/>
      <w:lvlJc w:val="left"/>
      <w:pPr>
        <w:ind w:left="234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1381387"/>
    <w:multiLevelType w:val="hybridMultilevel"/>
    <w:tmpl w:val="CDFE04B2"/>
    <w:lvl w:ilvl="0" w:tplc="D2467304">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03057CE"/>
    <w:multiLevelType w:val="hybridMultilevel"/>
    <w:tmpl w:val="18E68C2E"/>
    <w:lvl w:ilvl="0" w:tplc="0405001B">
      <w:start w:val="1"/>
      <w:numFmt w:val="lowerRoman"/>
      <w:lvlText w:val="%1."/>
      <w:lvlJc w:val="righ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C025D79"/>
    <w:multiLevelType w:val="hybridMultilevel"/>
    <w:tmpl w:val="9C3663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05000F">
      <w:start w:val="1"/>
      <w:numFmt w:val="decimal"/>
      <w:lvlText w:val="%3."/>
      <w:lvlJc w:val="left"/>
      <w:pPr>
        <w:ind w:left="234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DA5200D"/>
    <w:multiLevelType w:val="multilevel"/>
    <w:tmpl w:val="20CA6EF2"/>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67D62CE"/>
    <w:multiLevelType w:val="hybridMultilevel"/>
    <w:tmpl w:val="15E2D28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05000F">
      <w:start w:val="1"/>
      <w:numFmt w:val="decimal"/>
      <w:lvlText w:val="%3."/>
      <w:lvlJc w:val="left"/>
      <w:pPr>
        <w:ind w:left="234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02C7EA0"/>
    <w:multiLevelType w:val="hybridMultilevel"/>
    <w:tmpl w:val="EEEC722C"/>
    <w:lvl w:ilvl="0" w:tplc="8E2CBE02">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3D37B41"/>
    <w:multiLevelType w:val="hybridMultilevel"/>
    <w:tmpl w:val="A3B26B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8863A44"/>
    <w:multiLevelType w:val="hybridMultilevel"/>
    <w:tmpl w:val="F0404DC2"/>
    <w:lvl w:ilvl="0" w:tplc="D246730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BEF05A1"/>
    <w:multiLevelType w:val="hybridMultilevel"/>
    <w:tmpl w:val="0246A30E"/>
    <w:lvl w:ilvl="0" w:tplc="196C8D0C">
      <w:start w:val="1"/>
      <w:numFmt w:val="lowerLetter"/>
      <w:lvlText w:val="%1)"/>
      <w:lvlJc w:val="left"/>
      <w:pPr>
        <w:ind w:left="720" w:hanging="360"/>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06D643E"/>
    <w:multiLevelType w:val="hybridMultilevel"/>
    <w:tmpl w:val="1F404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05000F">
      <w:start w:val="1"/>
      <w:numFmt w:val="decimal"/>
      <w:lvlText w:val="%3."/>
      <w:lvlJc w:val="left"/>
      <w:pPr>
        <w:ind w:left="234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start w:val="1"/>
      <w:numFmt w:val="bullet"/>
      <w:lvlText w:val=""/>
      <w:lvlJc w:val="left"/>
      <w:pPr>
        <w:tabs>
          <w:tab w:val="num" w:pos="2585"/>
        </w:tabs>
        <w:ind w:left="2585" w:hanging="360"/>
      </w:pPr>
      <w:rPr>
        <w:rFonts w:ascii="Wingdings" w:hAnsi="Wingdings" w:hint="default"/>
      </w:rPr>
    </w:lvl>
    <w:lvl w:ilvl="3" w:tplc="0405000F">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15" w15:restartNumberingAfterBreak="0">
    <w:nsid w:val="746D443B"/>
    <w:multiLevelType w:val="hybridMultilevel"/>
    <w:tmpl w:val="7B945CF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num w:numId="1" w16cid:durableId="1384675719">
    <w:abstractNumId w:val="6"/>
  </w:num>
  <w:num w:numId="2" w16cid:durableId="270210113">
    <w:abstractNumId w:val="6"/>
  </w:num>
  <w:num w:numId="3" w16cid:durableId="26032944">
    <w:abstractNumId w:val="7"/>
  </w:num>
  <w:num w:numId="4" w16cid:durableId="1393382041">
    <w:abstractNumId w:val="1"/>
  </w:num>
  <w:num w:numId="5" w16cid:durableId="1567105828">
    <w:abstractNumId w:val="14"/>
  </w:num>
  <w:num w:numId="6" w16cid:durableId="341325363">
    <w:abstractNumId w:val="6"/>
  </w:num>
  <w:num w:numId="7" w16cid:durableId="1290092974">
    <w:abstractNumId w:val="6"/>
  </w:num>
  <w:num w:numId="8" w16cid:durableId="632832118">
    <w:abstractNumId w:val="6"/>
  </w:num>
  <w:num w:numId="9" w16cid:durableId="66030729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04146893">
    <w:abstractNumId w:val="0"/>
  </w:num>
  <w:num w:numId="11" w16cid:durableId="2032757922">
    <w:abstractNumId w:val="9"/>
  </w:num>
  <w:num w:numId="12" w16cid:durableId="1842309200">
    <w:abstractNumId w:val="12"/>
    <w:lvlOverride w:ilvl="0">
      <w:startOverride w:val="1"/>
    </w:lvlOverride>
  </w:num>
  <w:num w:numId="13" w16cid:durableId="514805690">
    <w:abstractNumId w:val="10"/>
  </w:num>
  <w:num w:numId="14" w16cid:durableId="1538394552">
    <w:abstractNumId w:val="13"/>
  </w:num>
  <w:num w:numId="15" w16cid:durableId="1160778182">
    <w:abstractNumId w:val="8"/>
  </w:num>
  <w:num w:numId="16" w16cid:durableId="1200818881">
    <w:abstractNumId w:val="5"/>
  </w:num>
  <w:num w:numId="17" w16cid:durableId="40979276">
    <w:abstractNumId w:val="15"/>
  </w:num>
  <w:num w:numId="18" w16cid:durableId="140274861">
    <w:abstractNumId w:val="11"/>
  </w:num>
  <w:num w:numId="19" w16cid:durableId="1463956865">
    <w:abstractNumId w:val="3"/>
  </w:num>
  <w:num w:numId="20" w16cid:durableId="1282346314">
    <w:abstractNumId w:val="4"/>
  </w:num>
  <w:num w:numId="21" w16cid:durableId="16562988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2C7"/>
    <w:rsid w:val="0002066F"/>
    <w:rsid w:val="00031C53"/>
    <w:rsid w:val="00032137"/>
    <w:rsid w:val="00056D43"/>
    <w:rsid w:val="0008418F"/>
    <w:rsid w:val="000B795B"/>
    <w:rsid w:val="000D5A1A"/>
    <w:rsid w:val="000D70F6"/>
    <w:rsid w:val="00111B83"/>
    <w:rsid w:val="00170F11"/>
    <w:rsid w:val="00181226"/>
    <w:rsid w:val="00187880"/>
    <w:rsid w:val="001A3F93"/>
    <w:rsid w:val="001C7065"/>
    <w:rsid w:val="0023599A"/>
    <w:rsid w:val="00247602"/>
    <w:rsid w:val="002512C7"/>
    <w:rsid w:val="00253FBD"/>
    <w:rsid w:val="0025682B"/>
    <w:rsid w:val="00287B22"/>
    <w:rsid w:val="002A02F4"/>
    <w:rsid w:val="002C6FE7"/>
    <w:rsid w:val="003039AF"/>
    <w:rsid w:val="0030639C"/>
    <w:rsid w:val="00335412"/>
    <w:rsid w:val="003445D3"/>
    <w:rsid w:val="00344F91"/>
    <w:rsid w:val="003815E1"/>
    <w:rsid w:val="0039474F"/>
    <w:rsid w:val="003C3197"/>
    <w:rsid w:val="003D00F6"/>
    <w:rsid w:val="003F1A44"/>
    <w:rsid w:val="003F232C"/>
    <w:rsid w:val="003F3079"/>
    <w:rsid w:val="00402F86"/>
    <w:rsid w:val="00403A77"/>
    <w:rsid w:val="00415C38"/>
    <w:rsid w:val="00416216"/>
    <w:rsid w:val="00450ECC"/>
    <w:rsid w:val="004576F9"/>
    <w:rsid w:val="004626D0"/>
    <w:rsid w:val="00475A5B"/>
    <w:rsid w:val="0047793A"/>
    <w:rsid w:val="004B7977"/>
    <w:rsid w:val="004B79BA"/>
    <w:rsid w:val="004C0273"/>
    <w:rsid w:val="004D049D"/>
    <w:rsid w:val="004E2B9A"/>
    <w:rsid w:val="004F2E4D"/>
    <w:rsid w:val="0050179E"/>
    <w:rsid w:val="00546F72"/>
    <w:rsid w:val="00554B69"/>
    <w:rsid w:val="00571956"/>
    <w:rsid w:val="00576B69"/>
    <w:rsid w:val="005A49C7"/>
    <w:rsid w:val="005F729D"/>
    <w:rsid w:val="0063499C"/>
    <w:rsid w:val="00662A89"/>
    <w:rsid w:val="0066322D"/>
    <w:rsid w:val="00680066"/>
    <w:rsid w:val="006A5618"/>
    <w:rsid w:val="006B0203"/>
    <w:rsid w:val="006B0C5A"/>
    <w:rsid w:val="006F0C18"/>
    <w:rsid w:val="006F658B"/>
    <w:rsid w:val="0074659A"/>
    <w:rsid w:val="00752E8B"/>
    <w:rsid w:val="00753369"/>
    <w:rsid w:val="00770587"/>
    <w:rsid w:val="0077535D"/>
    <w:rsid w:val="007A07F1"/>
    <w:rsid w:val="007A7AAE"/>
    <w:rsid w:val="007C7C51"/>
    <w:rsid w:val="007D10AF"/>
    <w:rsid w:val="007E184C"/>
    <w:rsid w:val="007F7544"/>
    <w:rsid w:val="008014CD"/>
    <w:rsid w:val="00802410"/>
    <w:rsid w:val="0081264E"/>
    <w:rsid w:val="00815B9A"/>
    <w:rsid w:val="00817B88"/>
    <w:rsid w:val="0082042E"/>
    <w:rsid w:val="00862659"/>
    <w:rsid w:val="0086598B"/>
    <w:rsid w:val="00895950"/>
    <w:rsid w:val="00901BA6"/>
    <w:rsid w:val="00934B50"/>
    <w:rsid w:val="00940249"/>
    <w:rsid w:val="00955642"/>
    <w:rsid w:val="00977DEE"/>
    <w:rsid w:val="00991DEA"/>
    <w:rsid w:val="00992C81"/>
    <w:rsid w:val="009A2074"/>
    <w:rsid w:val="009B688D"/>
    <w:rsid w:val="009F0C4F"/>
    <w:rsid w:val="00A10A39"/>
    <w:rsid w:val="00A33867"/>
    <w:rsid w:val="00A52C11"/>
    <w:rsid w:val="00A55DD9"/>
    <w:rsid w:val="00A723D1"/>
    <w:rsid w:val="00A74361"/>
    <w:rsid w:val="00A85CD8"/>
    <w:rsid w:val="00AC0340"/>
    <w:rsid w:val="00AC40D2"/>
    <w:rsid w:val="00AF5D77"/>
    <w:rsid w:val="00B30E71"/>
    <w:rsid w:val="00B45B9B"/>
    <w:rsid w:val="00B46A5D"/>
    <w:rsid w:val="00B74666"/>
    <w:rsid w:val="00B935D1"/>
    <w:rsid w:val="00BA2ADE"/>
    <w:rsid w:val="00BA6612"/>
    <w:rsid w:val="00BB024C"/>
    <w:rsid w:val="00BB1DE2"/>
    <w:rsid w:val="00BF761F"/>
    <w:rsid w:val="00C010D1"/>
    <w:rsid w:val="00C02018"/>
    <w:rsid w:val="00C22F99"/>
    <w:rsid w:val="00C71DA0"/>
    <w:rsid w:val="00C86997"/>
    <w:rsid w:val="00C95A5F"/>
    <w:rsid w:val="00C96FC6"/>
    <w:rsid w:val="00CC2E27"/>
    <w:rsid w:val="00CD2892"/>
    <w:rsid w:val="00D14DDD"/>
    <w:rsid w:val="00D20C5E"/>
    <w:rsid w:val="00D26ADA"/>
    <w:rsid w:val="00D35BE4"/>
    <w:rsid w:val="00D7738B"/>
    <w:rsid w:val="00DA374C"/>
    <w:rsid w:val="00DB466B"/>
    <w:rsid w:val="00DF0473"/>
    <w:rsid w:val="00E00AF4"/>
    <w:rsid w:val="00E05F0C"/>
    <w:rsid w:val="00E337BD"/>
    <w:rsid w:val="00E466B0"/>
    <w:rsid w:val="00E73B27"/>
    <w:rsid w:val="00E74B69"/>
    <w:rsid w:val="00E80F09"/>
    <w:rsid w:val="00E85837"/>
    <w:rsid w:val="00EF69EE"/>
    <w:rsid w:val="00F06188"/>
    <w:rsid w:val="00F16ABF"/>
    <w:rsid w:val="00F30A16"/>
    <w:rsid w:val="00F33B7A"/>
    <w:rsid w:val="00F6612A"/>
    <w:rsid w:val="00F923B1"/>
    <w:rsid w:val="00F9517F"/>
    <w:rsid w:val="00FC3119"/>
    <w:rsid w:val="00FE0C63"/>
    <w:rsid w:val="00FF3312"/>
    <w:rsid w:val="00FF70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F9E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D10A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Hypertextovodkaz">
    <w:name w:val="Hyperlink"/>
    <w:basedOn w:val="Standardnpsmoodstavce"/>
    <w:uiPriority w:val="99"/>
    <w:semiHidden/>
    <w:unhideWhenUsed/>
    <w:rsid w:val="00AC40D2"/>
    <w:rPr>
      <w:color w:val="0000FF"/>
      <w:u w:val="single"/>
    </w:rPr>
  </w:style>
  <w:style w:type="paragraph" w:styleId="Textbubliny">
    <w:name w:val="Balloon Text"/>
    <w:basedOn w:val="Normln"/>
    <w:link w:val="TextbublinyChar"/>
    <w:uiPriority w:val="99"/>
    <w:semiHidden/>
    <w:unhideWhenUsed/>
    <w:rsid w:val="00C0201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02018"/>
    <w:rPr>
      <w:rFonts w:ascii="Segoe UI" w:hAnsi="Segoe UI" w:cs="Segoe UI"/>
      <w:sz w:val="18"/>
      <w:szCs w:val="18"/>
    </w:rPr>
  </w:style>
  <w:style w:type="paragraph" w:customStyle="1" w:styleId="Style15">
    <w:name w:val="Style15"/>
    <w:basedOn w:val="Normln"/>
    <w:uiPriority w:val="99"/>
    <w:rsid w:val="004626D0"/>
    <w:pPr>
      <w:widowControl w:val="0"/>
      <w:autoSpaceDE w:val="0"/>
      <w:autoSpaceDN w:val="0"/>
      <w:adjustRightInd w:val="0"/>
      <w:spacing w:after="0" w:line="240" w:lineRule="auto"/>
    </w:pPr>
    <w:rPr>
      <w:rFonts w:ascii="Arial" w:eastAsia="Times New Roman" w:hAnsi="Arial" w:cs="Arial"/>
      <w:sz w:val="24"/>
      <w:szCs w:val="24"/>
      <w:lang w:eastAsia="cs-CZ"/>
    </w:rPr>
  </w:style>
  <w:style w:type="character" w:customStyle="1" w:styleId="FontStyle61">
    <w:name w:val="Font Style61"/>
    <w:uiPriority w:val="99"/>
    <w:rsid w:val="004626D0"/>
    <w:rPr>
      <w:rFonts w:ascii="Arial" w:hAnsi="Arial" w:cs="Arial"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1555</Words>
  <Characters>9176</Characters>
  <Application>Microsoft Office Word</Application>
  <DocSecurity>0</DocSecurity>
  <Lines>76</Lines>
  <Paragraphs>21</Paragraphs>
  <ScaleCrop>false</ScaleCrop>
  <Company/>
  <LinksUpToDate>false</LinksUpToDate>
  <CharactersWithSpaces>10710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2024-06-11T12:20:00Z</dcterms:created>
  <dcterms:modified xsi:type="dcterms:W3CDTF">2024-06-12T12:13:00Z</dcterms:modified>
</cp:coreProperties>
</file>